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0" w:before="0"/>
      </w:pPr>
    </w:p>
    <w:p>
      <w:pPr>
        <w:spacing w:after="60" w:before="0" w:line="276"/>
        <w:jc w:val="center"/>
      </w:pPr>
      <w:r>
        <w:rPr>
          <w:rFonts w:ascii="Times New Roman" w:cs="Times New Roman" w:eastAsia="Times New Roman" w:hAnsi="Times New Roman"/>
          <w:b/>
          <w:bCs/>
          <w:i w:val="false"/>
          <w:iCs w:val="false"/>
          <w:smallCaps/>
          <w:color w:val="111111"/>
          <w:sz w:val="64"/>
          <w:szCs w:val="64"/>
        </w:rPr>
        <w:t xml:space="preserve">PEOPLE.MARKET</w:t>
      </w:r>
    </w:p>
    <w:p>
      <w:pPr>
        <w:spacing w:after="80" w:before="0" w:line="276"/>
        <w:jc w:val="center"/>
      </w:pPr>
      <w:r>
        <w:rPr>
          <w:rFonts w:ascii="Times New Roman" w:cs="Times New Roman" w:eastAsia="Times New Roman" w:hAnsi="Times New Roman"/>
          <w:b w:val="false"/>
          <w:bCs w:val="false"/>
          <w:i/>
          <w:iCs/>
          <w:smallCaps w:val="false"/>
          <w:color w:val="111111"/>
          <w:sz w:val="32"/>
          <w:szCs w:val="32"/>
        </w:rPr>
        <w:t xml:space="preserve">Creator Token Whitepaper</w:t>
      </w:r>
    </w:p>
    <w:p>
      <w:pPr>
        <w:pBdr>
          <w:bottom w:val="single" w:color="1A1A1A" w:sz="6" w:space="1"/>
        </w:pBdr>
        <w:spacing w:after="40" w:before="0"/>
        <w:jc w:val="center"/>
      </w:pPr>
    </w:p>
    <w:p>
      <w:pPr>
        <w:spacing w:after="80" w:before="0"/>
      </w:pPr>
    </w:p>
    <w:p>
      <w:pPr>
        <w:spacing w:after="40" w:before="0" w:line="276"/>
        <w:jc w:val="center"/>
      </w:pPr>
      <w:r>
        <w:rPr>
          <w:rFonts w:ascii="Times New Roman" w:cs="Times New Roman" w:eastAsia="Times New Roman" w:hAnsi="Times New Roman"/>
          <w:b w:val="false"/>
          <w:bCs w:val="false"/>
          <w:i w:val="false"/>
          <w:iCs w:val="false"/>
          <w:smallCaps w:val="false"/>
          <w:color w:val="444444"/>
          <w:sz w:val="20"/>
          <w:szCs w:val="20"/>
        </w:rPr>
        <w:t xml:space="preserve">Version 1.0  ·  April 2026</w:t>
      </w:r>
    </w:p>
    <w:p>
      <w:pPr>
        <w:spacing w:after="0" w:before="0" w:line="276"/>
        <w:jc w:val="center"/>
      </w:pPr>
      <w:r>
        <w:rPr>
          <w:rFonts w:ascii="Times New Roman" w:cs="Times New Roman" w:eastAsia="Times New Roman" w:hAnsi="Times New Roman"/>
          <w:b w:val="false"/>
          <w:bCs w:val="false"/>
          <w:i w:val="false"/>
          <w:iCs w:val="false"/>
          <w:smallCaps w:val="false"/>
          <w:color w:val="444444"/>
          <w:sz w:val="20"/>
          <w:szCs w:val="20"/>
        </w:rPr>
        <w:t xml:space="preserve">Built on Solana  ·  SocialFi 2.0</w:t>
      </w:r>
    </w:p>
    <w:p>
      <w:pPr>
        <w:spacing w:after="600" w:before="0"/>
      </w:pPr>
    </w:p>
    <w:tbl>
      <w:tblPr>
        <w:tblW w:type="dxa" w:w="6739"/>
        <w:tblBorders>
          <w:top w:val="single" w:color="auto" w:sz="4"/>
          <w:left w:val="single" w:color="auto" w:sz="4"/>
          <w:bottom w:val="single" w:color="auto" w:sz="4"/>
          <w:right w:val="single" w:color="auto" w:sz="4"/>
          <w:insideH w:val="single" w:color="auto" w:sz="4"/>
          <w:insideV w:val="single" w:color="auto" w:sz="4"/>
        </w:tblBorders>
      </w:tblPr>
      <w:tblGrid>
        <w:gridCol w:w="1684"/>
        <w:gridCol w:w="5054"/>
      </w:tblGrid>
      <w:tr>
        <w:tc>
          <w:tcPr>
            <w:tcW w:type="dxa" w:w="1684"/>
            <w:tcBorders>
              <w:top w:val="none" w:color="FFFFFF" w:sz="0"/>
              <w:left w:val="none" w:color="FFFFFF" w:sz="0"/>
              <w:bottom w:val="none" w:color="FFFFFF" w:sz="0"/>
              <w:right w:val="none" w:color="FFFFFF" w:sz="0"/>
            </w:tcBorders>
            <w:tcMar>
              <w:top w:type="dxa" w:w="60"/>
              <w:left w:type="dxa" w:w="0"/>
              <w:bottom w:type="dxa" w:w="60"/>
              <w:right w:type="dxa" w:w="240"/>
            </w:tcMar>
          </w:tcPr>
          <w:p>
            <w:pPr>
              <w:spacing w:after="0" w:before="0"/>
            </w:pPr>
            <w:r>
              <w:rPr>
                <w:rFonts w:ascii="Times New Roman" w:cs="Times New Roman" w:eastAsia="Times New Roman" w:hAnsi="Times New Roman"/>
                <w:b/>
                <w:bCs/>
                <w:i w:val="false"/>
                <w:iCs w:val="false"/>
                <w:smallCaps w:val="false"/>
                <w:color w:val="111111"/>
                <w:sz w:val="24"/>
                <w:szCs w:val="24"/>
              </w:rPr>
              <w:t xml:space="preserve">100,000,000</w:t>
            </w:r>
          </w:p>
        </w:tc>
        <w:tc>
          <w:tcPr>
            <w:tcW w:type="dxa" w:w="5054"/>
            <w:tcBorders>
              <w:top w:val="none" w:color="FFFFFF" w:sz="0"/>
              <w:left w:val="single" w:color="CCCCCC" w:sz="4"/>
              <w:bottom w:val="none" w:color="FFFFFF" w:sz="0"/>
              <w:right w:val="none" w:color="FFFFFF" w:sz="0"/>
            </w:tcBorders>
            <w:tcMar>
              <w:top w:type="dxa" w:w="60"/>
              <w:left w:type="dxa" w:w="200"/>
              <w:bottom w:type="dxa" w:w="60"/>
              <w:right w:type="dxa" w:w="0"/>
            </w:tcMar>
          </w:tcPr>
          <w:p>
            <w:pPr>
              <w:spacing w:after="0" w:before="0"/>
            </w:pPr>
            <w:r>
              <w:rPr>
                <w:rFonts w:ascii="Times New Roman" w:cs="Times New Roman" w:eastAsia="Times New Roman" w:hAnsi="Times New Roman"/>
                <w:b w:val="false"/>
                <w:bCs w:val="false"/>
                <w:i w:val="false"/>
                <w:iCs w:val="false"/>
                <w:smallCaps w:val="false"/>
                <w:color w:val="444444"/>
                <w:sz w:val="20"/>
                <w:szCs w:val="20"/>
              </w:rPr>
              <w:t xml:space="preserve">Fixed token supply per creator token</w:t>
            </w:r>
          </w:p>
        </w:tc>
      </w:tr>
      <w:tr>
        <w:tc>
          <w:tcPr>
            <w:tcW w:type="dxa" w:w="1684"/>
            <w:tcBorders>
              <w:top w:val="none" w:color="FFFFFF" w:sz="0"/>
              <w:left w:val="none" w:color="FFFFFF" w:sz="0"/>
              <w:bottom w:val="none" w:color="FFFFFF" w:sz="0"/>
              <w:right w:val="none" w:color="FFFFFF" w:sz="0"/>
            </w:tcBorders>
            <w:tcMar>
              <w:top w:type="dxa" w:w="60"/>
              <w:left w:type="dxa" w:w="0"/>
              <w:bottom w:type="dxa" w:w="60"/>
              <w:right w:type="dxa" w:w="240"/>
            </w:tcMar>
          </w:tcPr>
          <w:p>
            <w:pPr>
              <w:spacing w:after="0" w:before="0"/>
            </w:pPr>
            <w:r>
              <w:rPr>
                <w:rFonts w:ascii="Times New Roman" w:cs="Times New Roman" w:eastAsia="Times New Roman" w:hAnsi="Times New Roman"/>
                <w:b/>
                <w:bCs/>
                <w:i w:val="false"/>
                <w:iCs w:val="false"/>
                <w:smallCaps w:val="false"/>
                <w:color w:val="111111"/>
                <w:sz w:val="24"/>
                <w:szCs w:val="24"/>
              </w:rPr>
              <w:t xml:space="preserve">$0.003</w:t>
            </w:r>
          </w:p>
        </w:tc>
        <w:tc>
          <w:tcPr>
            <w:tcW w:type="dxa" w:w="5054"/>
            <w:tcBorders>
              <w:top w:val="none" w:color="FFFFFF" w:sz="0"/>
              <w:left w:val="single" w:color="CCCCCC" w:sz="4"/>
              <w:bottom w:val="none" w:color="FFFFFF" w:sz="0"/>
              <w:right w:val="none" w:color="FFFFFF" w:sz="0"/>
            </w:tcBorders>
            <w:tcMar>
              <w:top w:type="dxa" w:w="60"/>
              <w:left w:type="dxa" w:w="200"/>
              <w:bottom w:type="dxa" w:w="60"/>
              <w:right w:type="dxa" w:w="0"/>
            </w:tcMar>
          </w:tcPr>
          <w:p>
            <w:pPr>
              <w:spacing w:after="0" w:before="0"/>
            </w:pPr>
            <w:r>
              <w:rPr>
                <w:rFonts w:ascii="Times New Roman" w:cs="Times New Roman" w:eastAsia="Times New Roman" w:hAnsi="Times New Roman"/>
                <w:b w:val="false"/>
                <w:bCs w:val="false"/>
                <w:i w:val="false"/>
                <w:iCs w:val="false"/>
                <w:smallCaps w:val="false"/>
                <w:color w:val="444444"/>
                <w:sz w:val="20"/>
                <w:szCs w:val="20"/>
              </w:rPr>
              <w:t xml:space="preserve">Universal starting price on bonding curve</w:t>
            </w:r>
          </w:p>
        </w:tc>
      </w:tr>
      <w:tr>
        <w:tc>
          <w:tcPr>
            <w:tcW w:type="dxa" w:w="1684"/>
            <w:tcBorders>
              <w:top w:val="none" w:color="FFFFFF" w:sz="0"/>
              <w:left w:val="none" w:color="FFFFFF" w:sz="0"/>
              <w:bottom w:val="none" w:color="FFFFFF" w:sz="0"/>
              <w:right w:val="none" w:color="FFFFFF" w:sz="0"/>
            </w:tcBorders>
            <w:tcMar>
              <w:top w:type="dxa" w:w="60"/>
              <w:left w:type="dxa" w:w="0"/>
              <w:bottom w:type="dxa" w:w="60"/>
              <w:right w:type="dxa" w:w="240"/>
            </w:tcMar>
          </w:tcPr>
          <w:p>
            <w:pPr>
              <w:spacing w:after="0" w:before="0"/>
            </w:pPr>
            <w:r>
              <w:rPr>
                <w:rFonts w:ascii="Times New Roman" w:cs="Times New Roman" w:eastAsia="Times New Roman" w:hAnsi="Times New Roman"/>
                <w:b/>
                <w:bCs/>
                <w:i w:val="false"/>
                <w:iCs w:val="false"/>
                <w:smallCaps w:val="false"/>
                <w:color w:val="111111"/>
                <w:sz w:val="24"/>
                <w:szCs w:val="24"/>
              </w:rPr>
              <w:t xml:space="preserve">5×</w:t>
            </w:r>
          </w:p>
        </w:tc>
        <w:tc>
          <w:tcPr>
            <w:tcW w:type="dxa" w:w="5054"/>
            <w:tcBorders>
              <w:top w:val="none" w:color="FFFFFF" w:sz="0"/>
              <w:left w:val="single" w:color="CCCCCC" w:sz="4"/>
              <w:bottom w:val="none" w:color="FFFFFF" w:sz="0"/>
              <w:right w:val="none" w:color="FFFFFF" w:sz="0"/>
            </w:tcBorders>
            <w:tcMar>
              <w:top w:type="dxa" w:w="60"/>
              <w:left w:type="dxa" w:w="200"/>
              <w:bottom w:type="dxa" w:w="60"/>
              <w:right w:type="dxa" w:w="0"/>
            </w:tcMar>
          </w:tcPr>
          <w:p>
            <w:pPr>
              <w:spacing w:after="0" w:before="0"/>
            </w:pPr>
            <w:r>
              <w:rPr>
                <w:rFonts w:ascii="Times New Roman" w:cs="Times New Roman" w:eastAsia="Times New Roman" w:hAnsi="Times New Roman"/>
                <w:b w:val="false"/>
                <w:bCs w:val="false"/>
                <w:i w:val="false"/>
                <w:iCs w:val="false"/>
                <w:smallCaps w:val="false"/>
                <w:color w:val="444444"/>
                <w:sz w:val="20"/>
                <w:szCs w:val="20"/>
              </w:rPr>
              <w:t xml:space="preserve">Guaranteed return potential at DEX graduation</w:t>
            </w:r>
          </w:p>
        </w:tc>
      </w:tr>
      <w:tr>
        <w:tc>
          <w:tcPr>
            <w:tcW w:type="dxa" w:w="1684"/>
            <w:tcBorders>
              <w:top w:val="none" w:color="FFFFFF" w:sz="0"/>
              <w:left w:val="none" w:color="FFFFFF" w:sz="0"/>
              <w:bottom w:val="none" w:color="FFFFFF" w:sz="0"/>
              <w:right w:val="none" w:color="FFFFFF" w:sz="0"/>
            </w:tcBorders>
            <w:tcMar>
              <w:top w:type="dxa" w:w="60"/>
              <w:left w:type="dxa" w:w="0"/>
              <w:bottom w:type="dxa" w:w="60"/>
              <w:right w:type="dxa" w:w="240"/>
            </w:tcMar>
          </w:tcPr>
          <w:p>
            <w:pPr>
              <w:spacing w:after="0" w:before="0"/>
            </w:pPr>
            <w:r>
              <w:rPr>
                <w:rFonts w:ascii="Times New Roman" w:cs="Times New Roman" w:eastAsia="Times New Roman" w:hAnsi="Times New Roman"/>
                <w:b/>
                <w:bCs/>
                <w:i w:val="false"/>
                <w:iCs w:val="false"/>
                <w:smallCaps w:val="false"/>
                <w:color w:val="111111"/>
                <w:sz w:val="24"/>
                <w:szCs w:val="24"/>
              </w:rPr>
              <w:t xml:space="preserve">4,485</w:t>
            </w:r>
          </w:p>
        </w:tc>
        <w:tc>
          <w:tcPr>
            <w:tcW w:type="dxa" w:w="5054"/>
            <w:tcBorders>
              <w:top w:val="none" w:color="FFFFFF" w:sz="0"/>
              <w:left w:val="single" w:color="CCCCCC" w:sz="4"/>
              <w:bottom w:val="none" w:color="FFFFFF" w:sz="0"/>
              <w:right w:val="none" w:color="FFFFFF" w:sz="0"/>
            </w:tcBorders>
            <w:tcMar>
              <w:top w:type="dxa" w:w="60"/>
              <w:left w:type="dxa" w:w="200"/>
              <w:bottom w:type="dxa" w:w="60"/>
              <w:right w:type="dxa" w:w="0"/>
            </w:tcMar>
          </w:tcPr>
          <w:p>
            <w:pPr>
              <w:spacing w:after="0" w:before="0"/>
            </w:pPr>
            <w:r>
              <w:rPr>
                <w:rFonts w:ascii="Times New Roman" w:cs="Times New Roman" w:eastAsia="Times New Roman" w:hAnsi="Times New Roman"/>
                <w:b w:val="false"/>
                <w:bCs w:val="false"/>
                <w:i w:val="false"/>
                <w:iCs w:val="false"/>
                <w:smallCaps w:val="false"/>
                <w:color w:val="444444"/>
                <w:sz w:val="20"/>
                <w:szCs w:val="20"/>
              </w:rPr>
              <w:t xml:space="preserve">Fixed daily creator token vesting release</w:t>
            </w:r>
          </w:p>
        </w:tc>
      </w:tr>
    </w:tbl>
    <w:p>
      <w:pPr>
        <w:spacing w:after="120" w:before="0"/>
      </w:pPr>
    </w:p>
    <w:p>
      <w:pPr>
        <w:pBdr>
          <w:top w:val="single" w:color="CCCCCC" w:sz="4" w:space="1"/>
        </w:pBdr>
        <w:spacing w:after="0" w:before="0"/>
        <w:jc w:val="left"/>
      </w:pPr>
    </w:p>
    <w:p>
      <w:pPr>
        <w:spacing w:after="60" w:before="0"/>
      </w:pPr>
    </w:p>
    <w:p>
      <w:pPr>
        <w:spacing w:after="0" w:before="0" w:line="276"/>
        <w:jc w:val="left"/>
      </w:pPr>
      <w:r>
        <w:rPr>
          <w:rFonts w:ascii="Times New Roman" w:cs="Times New Roman" w:eastAsia="Times New Roman" w:hAnsi="Times New Roman"/>
          <w:b w:val="false"/>
          <w:bCs w:val="false"/>
          <w:i/>
          <w:iCs/>
          <w:smallCaps w:val="false"/>
          <w:color w:val="666666"/>
          <w:sz w:val="19"/>
          <w:szCs w:val="19"/>
        </w:rPr>
        <w:t xml:space="preserve">Monetize Your Influence. Reward your People.</w:t>
      </w:r>
    </w:p>
    <w:p>
      <w:r>
        <w:br w:type="page"/>
      </w:r>
    </w:p>
    <w:p>
      <w:pPr>
        <w:pStyle w:val="Heading1"/>
        <w:pBdr>
          <w:bottom w:val="single" w:color="1A1A1A" w:sz="6" w:space="6"/>
        </w:pBdr>
        <w:spacing w:after="160" w:before="480"/>
      </w:pPr>
      <w:r>
        <w:rPr>
          <w:rFonts w:ascii="Times New Roman" w:cs="Times New Roman" w:eastAsia="Times New Roman" w:hAnsi="Times New Roman"/>
          <w:b/>
          <w:bCs/>
          <w:i w:val="false"/>
          <w:iCs w:val="false"/>
          <w:smallCaps w:val="false"/>
          <w:color w:val="111111"/>
          <w:sz w:val="28"/>
          <w:szCs w:val="28"/>
        </w:rPr>
        <w:t xml:space="preserve">   </w:t>
      </w:r>
      <w:r>
        <w:rPr>
          <w:rFonts w:ascii="Times New Roman" w:cs="Times New Roman" w:eastAsia="Times New Roman" w:hAnsi="Times New Roman"/>
          <w:b/>
          <w:bCs/>
          <w:i w:val="false"/>
          <w:iCs w:val="false"/>
          <w:smallCaps/>
          <w:color w:val="111111"/>
          <w:sz w:val="28"/>
          <w:szCs w:val="28"/>
        </w:rPr>
        <w:t xml:space="preserve">ABSTRACT</w:t>
      </w:r>
    </w:p>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People.market is a next-generation Social Finance (SocialFi) platform built on the Solana blockchain. The platform enables any creator, influencer, or individual to launch a fixed-supply personal token representing their brand value, community engagement, and social influence. Token holders invest early in people they believe in, earn tokens by completing verifiable creator tasks, and receive proportional income distributions as creators generate earnings on the platform.</w:t>
      </w:r>
    </w:p>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This paper introduces three mechanisms that no existing SocialFi platform has delivered simultaneously: (1) an exponential bonding curve with a mathematically enforced 5× return potential at DEX graduation, (2) a native task economy where token holders earn locked creator tokens by completing real creator tasks, and (3) a proportional on-chain income-sharing model that aligns every participant's financial incentive with the creator's long-term success.</w:t>
      </w:r>
    </w:p>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We describe the complete token architecture, bonding curve mathematics, liquidity pool mechanics, vesting design, stability reserve mechanism, fee structure, and smart contract implementation. We further document the market context, go-to-market strategy, risk analysis, and technical appendix. The platform is built to address the structural failures of SocialFi 1.0 platforms, whose collapse was caused by pure speculative mechanics with no sustainable utility.</w:t>
      </w:r>
    </w:p>
    <w:p>
      <w:pPr>
        <w:spacing w:after="80" w:before="0"/>
      </w:pPr>
    </w:p>
    <w:p>
      <w:pPr>
        <w:spacing w:after="0" w:before="0" w:line="276"/>
        <w:jc w:val="both"/>
      </w:pPr>
      <w:r>
        <w:rPr>
          <w:rFonts w:ascii="Times New Roman" w:cs="Times New Roman" w:eastAsia="Times New Roman" w:hAnsi="Times New Roman"/>
          <w:b/>
          <w:bCs/>
          <w:i w:val="false"/>
          <w:iCs w:val="false"/>
          <w:smallCaps w:val="false"/>
          <w:color w:val="111111"/>
          <w:sz w:val="20"/>
          <w:szCs w:val="20"/>
        </w:rPr>
        <w:t xml:space="preserve">Keywords: </w:t>
      </w:r>
      <w:r>
        <w:rPr>
          <w:rFonts w:ascii="Times New Roman" w:cs="Times New Roman" w:eastAsia="Times New Roman" w:hAnsi="Times New Roman"/>
          <w:b w:val="false"/>
          <w:bCs w:val="false"/>
          <w:i/>
          <w:iCs/>
          <w:smallCaps w:val="false"/>
          <w:color w:val="111111"/>
          <w:sz w:val="20"/>
          <w:szCs w:val="20"/>
        </w:rPr>
        <w:t xml:space="preserve">SocialFi, bonding curve, Solana, creator economy, token economics, decentralised finance, task marketplace, income sharing</w:t>
      </w:r>
    </w:p>
    <w:p>
      <w:r>
        <w:br w:type="page"/>
      </w:r>
    </w:p>
    <w:p>
      <w:pPr>
        <w:pStyle w:val="Heading1"/>
        <w:pBdr>
          <w:bottom w:val="single" w:color="1A1A1A" w:sz="6" w:space="6"/>
        </w:pBdr>
        <w:spacing w:after="160" w:before="480"/>
      </w:pPr>
      <w:r>
        <w:rPr>
          <w:rFonts w:ascii="Times New Roman" w:cs="Times New Roman" w:eastAsia="Times New Roman" w:hAnsi="Times New Roman"/>
          <w:b/>
          <w:bCs/>
          <w:i w:val="false"/>
          <w:iCs w:val="false"/>
          <w:smallCaps w:val="false"/>
          <w:color w:val="111111"/>
          <w:sz w:val="28"/>
          <w:szCs w:val="28"/>
        </w:rPr>
        <w:t xml:space="preserve">   </w:t>
      </w:r>
      <w:r>
        <w:rPr>
          <w:rFonts w:ascii="Times New Roman" w:cs="Times New Roman" w:eastAsia="Times New Roman" w:hAnsi="Times New Roman"/>
          <w:b/>
          <w:bCs/>
          <w:i w:val="false"/>
          <w:iCs w:val="false"/>
          <w:smallCaps/>
          <w:color w:val="111111"/>
          <w:sz w:val="28"/>
          <w:szCs w:val="28"/>
        </w:rPr>
        <w:t xml:space="preserve">CONTENTS</w:t>
      </w:r>
    </w:p>
    <w:p>
      <w:pPr>
        <w:tabs>
          <w:tab w:val="right" w:pos="9360" w:leader="dot"/>
        </w:tabs>
        <w:spacing w:after="30" w:before="30"/>
      </w:pPr>
      <w:r>
        <w:rPr>
          <w:rFonts w:ascii="Times New Roman" w:cs="Times New Roman" w:eastAsia="Times New Roman" w:hAnsi="Times New Roman"/>
          <w:b w:val="false"/>
          <w:bCs w:val="false"/>
          <w:i w:val="false"/>
          <w:iCs w:val="false"/>
          <w:smallCaps w:val="false"/>
          <w:color w:val="444444"/>
          <w:sz w:val="20"/>
          <w:szCs w:val="20"/>
        </w:rPr>
        <w:t xml:space="preserve">1.</w:t>
      </w:r>
      <w:r>
        <w:rPr>
          <w:rFonts w:ascii="Times New Roman" w:cs="Times New Roman" w:eastAsia="Times New Roman" w:hAnsi="Times New Roman"/>
          <w:b w:val="false"/>
          <w:bCs w:val="false"/>
          <w:i w:val="false"/>
          <w:iCs w:val="false"/>
          <w:smallCaps w:val="false"/>
          <w:color w:val="111111"/>
          <w:sz w:val="20"/>
          <w:szCs w:val="20"/>
        </w:rPr>
        <w:t xml:space="preserve">  </w:t>
      </w:r>
      <w:r>
        <w:rPr>
          <w:rFonts w:ascii="Times New Roman" w:cs="Times New Roman" w:eastAsia="Times New Roman" w:hAnsi="Times New Roman"/>
          <w:b w:val="false"/>
          <w:bCs w:val="false"/>
          <w:i w:val="false"/>
          <w:iCs w:val="false"/>
          <w:smallCaps w:val="false"/>
          <w:color w:val="111111"/>
          <w:sz w:val="20"/>
          <w:szCs w:val="20"/>
        </w:rPr>
        <w:t xml:space="preserve">Introduction</w:t>
      </w:r>
      <w:r>
        <w:rPr>
          <w:rFonts w:ascii="Times New Roman" w:cs="Times New Roman" w:eastAsia="Times New Roman" w:hAnsi="Times New Roman"/>
          <w:b w:val="false"/>
          <w:bCs w:val="false"/>
          <w:i w:val="false"/>
          <w:iCs w:val="false"/>
          <w:smallCaps w:val="false"/>
          <w:color w:val="444444"/>
          <w:sz w:val="20"/>
          <w:szCs w:val="20"/>
        </w:rPr>
        <w:t xml:space="preserve">	3</w:t>
      </w:r>
    </w:p>
    <w:p>
      <w:pPr>
        <w:tabs>
          <w:tab w:val="right" w:pos="9360" w:leader="dot"/>
        </w:tabs>
        <w:spacing w:after="30" w:before="30"/>
      </w:pPr>
      <w:r>
        <w:rPr>
          <w:rFonts w:ascii="Times New Roman" w:cs="Times New Roman" w:eastAsia="Times New Roman" w:hAnsi="Times New Roman"/>
          <w:b w:val="false"/>
          <w:bCs w:val="false"/>
          <w:i w:val="false"/>
          <w:iCs w:val="false"/>
          <w:smallCaps w:val="false"/>
          <w:color w:val="444444"/>
          <w:sz w:val="20"/>
          <w:szCs w:val="20"/>
        </w:rPr>
        <w:t xml:space="preserve">2.</w:t>
      </w:r>
      <w:r>
        <w:rPr>
          <w:rFonts w:ascii="Times New Roman" w:cs="Times New Roman" w:eastAsia="Times New Roman" w:hAnsi="Times New Roman"/>
          <w:b w:val="false"/>
          <w:bCs w:val="false"/>
          <w:i w:val="false"/>
          <w:iCs w:val="false"/>
          <w:smallCaps w:val="false"/>
          <w:color w:val="111111"/>
          <w:sz w:val="20"/>
          <w:szCs w:val="20"/>
        </w:rPr>
        <w:t xml:space="preserve">  </w:t>
      </w:r>
      <w:r>
        <w:rPr>
          <w:rFonts w:ascii="Times New Roman" w:cs="Times New Roman" w:eastAsia="Times New Roman" w:hAnsi="Times New Roman"/>
          <w:b w:val="false"/>
          <w:bCs w:val="false"/>
          <w:i w:val="false"/>
          <w:iCs w:val="false"/>
          <w:smallCaps w:val="false"/>
          <w:color w:val="111111"/>
          <w:sz w:val="20"/>
          <w:szCs w:val="20"/>
        </w:rPr>
        <w:t xml:space="preserve">Platform Vision</w:t>
      </w:r>
      <w:r>
        <w:rPr>
          <w:rFonts w:ascii="Times New Roman" w:cs="Times New Roman" w:eastAsia="Times New Roman" w:hAnsi="Times New Roman"/>
          <w:b w:val="false"/>
          <w:bCs w:val="false"/>
          <w:i w:val="false"/>
          <w:iCs w:val="false"/>
          <w:smallCaps w:val="false"/>
          <w:color w:val="444444"/>
          <w:sz w:val="20"/>
          <w:szCs w:val="20"/>
        </w:rPr>
        <w:t xml:space="preserve">	5</w:t>
      </w:r>
    </w:p>
    <w:p>
      <w:pPr>
        <w:tabs>
          <w:tab w:val="right" w:pos="9360" w:leader="dot"/>
        </w:tabs>
        <w:spacing w:after="30" w:before="30"/>
      </w:pPr>
      <w:r>
        <w:rPr>
          <w:rFonts w:ascii="Times New Roman" w:cs="Times New Roman" w:eastAsia="Times New Roman" w:hAnsi="Times New Roman"/>
          <w:b w:val="false"/>
          <w:bCs w:val="false"/>
          <w:i w:val="false"/>
          <w:iCs w:val="false"/>
          <w:smallCaps w:val="false"/>
          <w:color w:val="444444"/>
          <w:sz w:val="20"/>
          <w:szCs w:val="20"/>
        </w:rPr>
        <w:t xml:space="preserve">3.</w:t>
      </w:r>
      <w:r>
        <w:rPr>
          <w:rFonts w:ascii="Times New Roman" w:cs="Times New Roman" w:eastAsia="Times New Roman" w:hAnsi="Times New Roman"/>
          <w:b w:val="false"/>
          <w:bCs w:val="false"/>
          <w:i w:val="false"/>
          <w:iCs w:val="false"/>
          <w:smallCaps w:val="false"/>
          <w:color w:val="111111"/>
          <w:sz w:val="20"/>
          <w:szCs w:val="20"/>
        </w:rPr>
        <w:t xml:space="preserve">  </w:t>
      </w:r>
      <w:r>
        <w:rPr>
          <w:rFonts w:ascii="Times New Roman" w:cs="Times New Roman" w:eastAsia="Times New Roman" w:hAnsi="Times New Roman"/>
          <w:b w:val="false"/>
          <w:bCs w:val="false"/>
          <w:i w:val="false"/>
          <w:iCs w:val="false"/>
          <w:smallCaps w:val="false"/>
          <w:color w:val="111111"/>
          <w:sz w:val="20"/>
          <w:szCs w:val="20"/>
        </w:rPr>
        <w:t xml:space="preserve">Competitive Analysis</w:t>
      </w:r>
      <w:r>
        <w:rPr>
          <w:rFonts w:ascii="Times New Roman" w:cs="Times New Roman" w:eastAsia="Times New Roman" w:hAnsi="Times New Roman"/>
          <w:b w:val="false"/>
          <w:bCs w:val="false"/>
          <w:i w:val="false"/>
          <w:iCs w:val="false"/>
          <w:smallCaps w:val="false"/>
          <w:color w:val="444444"/>
          <w:sz w:val="20"/>
          <w:szCs w:val="20"/>
        </w:rPr>
        <w:t xml:space="preserve">	6</w:t>
      </w:r>
    </w:p>
    <w:p>
      <w:pPr>
        <w:tabs>
          <w:tab w:val="right" w:pos="9360" w:leader="dot"/>
        </w:tabs>
        <w:spacing w:after="30" w:before="30"/>
      </w:pPr>
      <w:r>
        <w:rPr>
          <w:rFonts w:ascii="Times New Roman" w:cs="Times New Roman" w:eastAsia="Times New Roman" w:hAnsi="Times New Roman"/>
          <w:b w:val="false"/>
          <w:bCs w:val="false"/>
          <w:i w:val="false"/>
          <w:iCs w:val="false"/>
          <w:smallCaps w:val="false"/>
          <w:color w:val="444444"/>
          <w:sz w:val="20"/>
          <w:szCs w:val="20"/>
        </w:rPr>
        <w:t xml:space="preserve">4.</w:t>
      </w:r>
      <w:r>
        <w:rPr>
          <w:rFonts w:ascii="Times New Roman" w:cs="Times New Roman" w:eastAsia="Times New Roman" w:hAnsi="Times New Roman"/>
          <w:b w:val="false"/>
          <w:bCs w:val="false"/>
          <w:i w:val="false"/>
          <w:iCs w:val="false"/>
          <w:smallCaps w:val="false"/>
          <w:color w:val="111111"/>
          <w:sz w:val="20"/>
          <w:szCs w:val="20"/>
        </w:rPr>
        <w:t xml:space="preserve">  </w:t>
      </w:r>
      <w:r>
        <w:rPr>
          <w:rFonts w:ascii="Times New Roman" w:cs="Times New Roman" w:eastAsia="Times New Roman" w:hAnsi="Times New Roman"/>
          <w:b w:val="false"/>
          <w:bCs w:val="false"/>
          <w:i w:val="false"/>
          <w:iCs w:val="false"/>
          <w:smallCaps w:val="false"/>
          <w:color w:val="111111"/>
          <w:sz w:val="20"/>
          <w:szCs w:val="20"/>
        </w:rPr>
        <w:t xml:space="preserve">System Architecture</w:t>
      </w:r>
      <w:r>
        <w:rPr>
          <w:rFonts w:ascii="Times New Roman" w:cs="Times New Roman" w:eastAsia="Times New Roman" w:hAnsi="Times New Roman"/>
          <w:b w:val="false"/>
          <w:bCs w:val="false"/>
          <w:i w:val="false"/>
          <w:iCs w:val="false"/>
          <w:smallCaps w:val="false"/>
          <w:color w:val="444444"/>
          <w:sz w:val="20"/>
          <w:szCs w:val="20"/>
        </w:rPr>
        <w:t xml:space="preserve">	7</w:t>
      </w:r>
    </w:p>
    <w:p>
      <w:pPr>
        <w:tabs>
          <w:tab w:val="right" w:pos="9360" w:leader="dot"/>
        </w:tabs>
        <w:spacing w:after="30" w:before="30"/>
      </w:pPr>
      <w:r>
        <w:rPr>
          <w:rFonts w:ascii="Times New Roman" w:cs="Times New Roman" w:eastAsia="Times New Roman" w:hAnsi="Times New Roman"/>
          <w:b w:val="false"/>
          <w:bCs w:val="false"/>
          <w:i w:val="false"/>
          <w:iCs w:val="false"/>
          <w:smallCaps w:val="false"/>
          <w:color w:val="444444"/>
          <w:sz w:val="20"/>
          <w:szCs w:val="20"/>
        </w:rPr>
        <w:t xml:space="preserve">5.</w:t>
      </w:r>
      <w:r>
        <w:rPr>
          <w:rFonts w:ascii="Times New Roman" w:cs="Times New Roman" w:eastAsia="Times New Roman" w:hAnsi="Times New Roman"/>
          <w:b w:val="false"/>
          <w:bCs w:val="false"/>
          <w:i w:val="false"/>
          <w:iCs w:val="false"/>
          <w:smallCaps w:val="false"/>
          <w:color w:val="111111"/>
          <w:sz w:val="20"/>
          <w:szCs w:val="20"/>
        </w:rPr>
        <w:t xml:space="preserve">  </w:t>
      </w:r>
      <w:r>
        <w:rPr>
          <w:rFonts w:ascii="Times New Roman" w:cs="Times New Roman" w:eastAsia="Times New Roman" w:hAnsi="Times New Roman"/>
          <w:b w:val="false"/>
          <w:bCs w:val="false"/>
          <w:i w:val="false"/>
          <w:iCs w:val="false"/>
          <w:smallCaps w:val="false"/>
          <w:color w:val="111111"/>
          <w:sz w:val="20"/>
          <w:szCs w:val="20"/>
        </w:rPr>
        <w:t xml:space="preserve">Token Systems</w:t>
      </w:r>
      <w:r>
        <w:rPr>
          <w:rFonts w:ascii="Times New Roman" w:cs="Times New Roman" w:eastAsia="Times New Roman" w:hAnsi="Times New Roman"/>
          <w:b w:val="false"/>
          <w:bCs w:val="false"/>
          <w:i w:val="false"/>
          <w:iCs w:val="false"/>
          <w:smallCaps w:val="false"/>
          <w:color w:val="444444"/>
          <w:sz w:val="20"/>
          <w:szCs w:val="20"/>
        </w:rPr>
        <w:t xml:space="preserve">	8</w:t>
      </w:r>
    </w:p>
    <w:p>
      <w:pPr>
        <w:tabs>
          <w:tab w:val="right" w:pos="9360" w:leader="dot"/>
        </w:tabs>
        <w:spacing w:after="30" w:before="30"/>
      </w:pPr>
      <w:r>
        <w:rPr>
          <w:rFonts w:ascii="Times New Roman" w:cs="Times New Roman" w:eastAsia="Times New Roman" w:hAnsi="Times New Roman"/>
          <w:b w:val="false"/>
          <w:bCs w:val="false"/>
          <w:i w:val="false"/>
          <w:iCs w:val="false"/>
          <w:smallCaps w:val="false"/>
          <w:color w:val="444444"/>
          <w:sz w:val="20"/>
          <w:szCs w:val="20"/>
        </w:rPr>
        <w:t xml:space="preserve">6.</w:t>
      </w:r>
      <w:r>
        <w:rPr>
          <w:rFonts w:ascii="Times New Roman" w:cs="Times New Roman" w:eastAsia="Times New Roman" w:hAnsi="Times New Roman"/>
          <w:b w:val="false"/>
          <w:bCs w:val="false"/>
          <w:i w:val="false"/>
          <w:iCs w:val="false"/>
          <w:smallCaps w:val="false"/>
          <w:color w:val="111111"/>
          <w:sz w:val="20"/>
          <w:szCs w:val="20"/>
        </w:rPr>
        <w:t xml:space="preserve">  </w:t>
      </w:r>
      <w:r>
        <w:rPr>
          <w:rFonts w:ascii="Times New Roman" w:cs="Times New Roman" w:eastAsia="Times New Roman" w:hAnsi="Times New Roman"/>
          <w:b w:val="false"/>
          <w:bCs w:val="false"/>
          <w:i w:val="false"/>
          <w:iCs w:val="false"/>
          <w:smallCaps w:val="false"/>
          <w:color w:val="111111"/>
          <w:sz w:val="20"/>
          <w:szCs w:val="20"/>
        </w:rPr>
        <w:t xml:space="preserve">Creator Token Specification</w:t>
      </w:r>
      <w:r>
        <w:rPr>
          <w:rFonts w:ascii="Times New Roman" w:cs="Times New Roman" w:eastAsia="Times New Roman" w:hAnsi="Times New Roman"/>
          <w:b w:val="false"/>
          <w:bCs w:val="false"/>
          <w:i w:val="false"/>
          <w:iCs w:val="false"/>
          <w:smallCaps w:val="false"/>
          <w:color w:val="444444"/>
          <w:sz w:val="20"/>
          <w:szCs w:val="20"/>
        </w:rPr>
        <w:t xml:space="preserve">	9</w:t>
      </w:r>
    </w:p>
    <w:p>
      <w:pPr>
        <w:tabs>
          <w:tab w:val="right" w:pos="9360" w:leader="dot"/>
        </w:tabs>
        <w:spacing w:after="30" w:before="30"/>
      </w:pPr>
      <w:r>
        <w:rPr>
          <w:rFonts w:ascii="Times New Roman" w:cs="Times New Roman" w:eastAsia="Times New Roman" w:hAnsi="Times New Roman"/>
          <w:b w:val="false"/>
          <w:bCs w:val="false"/>
          <w:i w:val="false"/>
          <w:iCs w:val="false"/>
          <w:smallCaps w:val="false"/>
          <w:color w:val="444444"/>
          <w:sz w:val="20"/>
          <w:szCs w:val="20"/>
        </w:rPr>
        <w:t xml:space="preserve">7.</w:t>
      </w:r>
      <w:r>
        <w:rPr>
          <w:rFonts w:ascii="Times New Roman" w:cs="Times New Roman" w:eastAsia="Times New Roman" w:hAnsi="Times New Roman"/>
          <w:b w:val="false"/>
          <w:bCs w:val="false"/>
          <w:i w:val="false"/>
          <w:iCs w:val="false"/>
          <w:smallCaps w:val="false"/>
          <w:color w:val="111111"/>
          <w:sz w:val="20"/>
          <w:szCs w:val="20"/>
        </w:rPr>
        <w:t xml:space="preserve">  </w:t>
      </w:r>
      <w:r>
        <w:rPr>
          <w:rFonts w:ascii="Times New Roman" w:cs="Times New Roman" w:eastAsia="Times New Roman" w:hAnsi="Times New Roman"/>
          <w:b w:val="false"/>
          <w:bCs w:val="false"/>
          <w:i w:val="false"/>
          <w:iCs w:val="false"/>
          <w:smallCaps w:val="false"/>
          <w:color w:val="111111"/>
          <w:sz w:val="20"/>
          <w:szCs w:val="20"/>
        </w:rPr>
        <w:t xml:space="preserve">Bonding Curve Mechanics</w:t>
      </w:r>
      <w:r>
        <w:rPr>
          <w:rFonts w:ascii="Times New Roman" w:cs="Times New Roman" w:eastAsia="Times New Roman" w:hAnsi="Times New Roman"/>
          <w:b w:val="false"/>
          <w:bCs w:val="false"/>
          <w:i w:val="false"/>
          <w:iCs w:val="false"/>
          <w:smallCaps w:val="false"/>
          <w:color w:val="444444"/>
          <w:sz w:val="20"/>
          <w:szCs w:val="20"/>
        </w:rPr>
        <w:t xml:space="preserve">	11</w:t>
      </w:r>
    </w:p>
    <w:p>
      <w:pPr>
        <w:tabs>
          <w:tab w:val="right" w:pos="9360" w:leader="dot"/>
        </w:tabs>
        <w:spacing w:after="30" w:before="30"/>
      </w:pPr>
      <w:r>
        <w:rPr>
          <w:rFonts w:ascii="Times New Roman" w:cs="Times New Roman" w:eastAsia="Times New Roman" w:hAnsi="Times New Roman"/>
          <w:b w:val="false"/>
          <w:bCs w:val="false"/>
          <w:i w:val="false"/>
          <w:iCs w:val="false"/>
          <w:smallCaps w:val="false"/>
          <w:color w:val="444444"/>
          <w:sz w:val="20"/>
          <w:szCs w:val="20"/>
        </w:rPr>
        <w:t xml:space="preserve">8.</w:t>
      </w:r>
      <w:r>
        <w:rPr>
          <w:rFonts w:ascii="Times New Roman" w:cs="Times New Roman" w:eastAsia="Times New Roman" w:hAnsi="Times New Roman"/>
          <w:b w:val="false"/>
          <w:bCs w:val="false"/>
          <w:i w:val="false"/>
          <w:iCs w:val="false"/>
          <w:smallCaps w:val="false"/>
          <w:color w:val="111111"/>
          <w:sz w:val="20"/>
          <w:szCs w:val="20"/>
        </w:rPr>
        <w:t xml:space="preserve">  </w:t>
      </w:r>
      <w:r>
        <w:rPr>
          <w:rFonts w:ascii="Times New Roman" w:cs="Times New Roman" w:eastAsia="Times New Roman" w:hAnsi="Times New Roman"/>
          <w:b w:val="false"/>
          <w:bCs w:val="false"/>
          <w:i w:val="false"/>
          <w:iCs w:val="false"/>
          <w:smallCaps w:val="false"/>
          <w:color w:val="111111"/>
          <w:sz w:val="20"/>
          <w:szCs w:val="20"/>
        </w:rPr>
        <w:t xml:space="preserve">DEX Migration and Liquidity Pool</w:t>
      </w:r>
      <w:r>
        <w:rPr>
          <w:rFonts w:ascii="Times New Roman" w:cs="Times New Roman" w:eastAsia="Times New Roman" w:hAnsi="Times New Roman"/>
          <w:b w:val="false"/>
          <w:bCs w:val="false"/>
          <w:i w:val="false"/>
          <w:iCs w:val="false"/>
          <w:smallCaps w:val="false"/>
          <w:color w:val="444444"/>
          <w:sz w:val="20"/>
          <w:szCs w:val="20"/>
        </w:rPr>
        <w:t xml:space="preserve">	14</w:t>
      </w:r>
    </w:p>
    <w:p>
      <w:pPr>
        <w:tabs>
          <w:tab w:val="right" w:pos="9360" w:leader="dot"/>
        </w:tabs>
        <w:spacing w:after="30" w:before="30"/>
      </w:pPr>
      <w:r>
        <w:rPr>
          <w:rFonts w:ascii="Times New Roman" w:cs="Times New Roman" w:eastAsia="Times New Roman" w:hAnsi="Times New Roman"/>
          <w:b w:val="false"/>
          <w:bCs w:val="false"/>
          <w:i w:val="false"/>
          <w:iCs w:val="false"/>
          <w:smallCaps w:val="false"/>
          <w:color w:val="444444"/>
          <w:sz w:val="20"/>
          <w:szCs w:val="20"/>
        </w:rPr>
        <w:t xml:space="preserve">9.</w:t>
      </w:r>
      <w:r>
        <w:rPr>
          <w:rFonts w:ascii="Times New Roman" w:cs="Times New Roman" w:eastAsia="Times New Roman" w:hAnsi="Times New Roman"/>
          <w:b w:val="false"/>
          <w:bCs w:val="false"/>
          <w:i w:val="false"/>
          <w:iCs w:val="false"/>
          <w:smallCaps w:val="false"/>
          <w:color w:val="111111"/>
          <w:sz w:val="20"/>
          <w:szCs w:val="20"/>
        </w:rPr>
        <w:t xml:space="preserve">  </w:t>
      </w:r>
      <w:r>
        <w:rPr>
          <w:rFonts w:ascii="Times New Roman" w:cs="Times New Roman" w:eastAsia="Times New Roman" w:hAnsi="Times New Roman"/>
          <w:b w:val="false"/>
          <w:bCs w:val="false"/>
          <w:i w:val="false"/>
          <w:iCs w:val="false"/>
          <w:smallCaps w:val="false"/>
          <w:color w:val="111111"/>
          <w:sz w:val="20"/>
          <w:szCs w:val="20"/>
        </w:rPr>
        <w:t xml:space="preserve">Creator Token Vesting</w:t>
      </w:r>
      <w:r>
        <w:rPr>
          <w:rFonts w:ascii="Times New Roman" w:cs="Times New Roman" w:eastAsia="Times New Roman" w:hAnsi="Times New Roman"/>
          <w:b w:val="false"/>
          <w:bCs w:val="false"/>
          <w:i w:val="false"/>
          <w:iCs w:val="false"/>
          <w:smallCaps w:val="false"/>
          <w:color w:val="444444"/>
          <w:sz w:val="20"/>
          <w:szCs w:val="20"/>
        </w:rPr>
        <w:t xml:space="preserve">	17</w:t>
      </w:r>
    </w:p>
    <w:p>
      <w:pPr>
        <w:tabs>
          <w:tab w:val="right" w:pos="9360" w:leader="dot"/>
        </w:tabs>
        <w:spacing w:after="30" w:before="30"/>
      </w:pPr>
      <w:r>
        <w:rPr>
          <w:rFonts w:ascii="Times New Roman" w:cs="Times New Roman" w:eastAsia="Times New Roman" w:hAnsi="Times New Roman"/>
          <w:b w:val="false"/>
          <w:bCs w:val="false"/>
          <w:i w:val="false"/>
          <w:iCs w:val="false"/>
          <w:smallCaps w:val="false"/>
          <w:color w:val="444444"/>
          <w:sz w:val="20"/>
          <w:szCs w:val="20"/>
        </w:rPr>
        <w:t xml:space="preserve">10.</w:t>
      </w:r>
      <w:r>
        <w:rPr>
          <w:rFonts w:ascii="Times New Roman" w:cs="Times New Roman" w:eastAsia="Times New Roman" w:hAnsi="Times New Roman"/>
          <w:b w:val="false"/>
          <w:bCs w:val="false"/>
          <w:i w:val="false"/>
          <w:iCs w:val="false"/>
          <w:smallCaps w:val="false"/>
          <w:color w:val="111111"/>
          <w:sz w:val="20"/>
          <w:szCs w:val="20"/>
        </w:rPr>
        <w:t xml:space="preserve">  </w:t>
      </w:r>
      <w:r>
        <w:rPr>
          <w:rFonts w:ascii="Times New Roman" w:cs="Times New Roman" w:eastAsia="Times New Roman" w:hAnsi="Times New Roman"/>
          <w:b w:val="false"/>
          <w:bCs w:val="false"/>
          <w:i w:val="false"/>
          <w:iCs w:val="false"/>
          <w:smallCaps w:val="false"/>
          <w:color w:val="111111"/>
          <w:sz w:val="20"/>
          <w:szCs w:val="20"/>
        </w:rPr>
        <w:t xml:space="preserve">Stability Reserve</w:t>
      </w:r>
      <w:r>
        <w:rPr>
          <w:rFonts w:ascii="Times New Roman" w:cs="Times New Roman" w:eastAsia="Times New Roman" w:hAnsi="Times New Roman"/>
          <w:b w:val="false"/>
          <w:bCs w:val="false"/>
          <w:i w:val="false"/>
          <w:iCs w:val="false"/>
          <w:smallCaps w:val="false"/>
          <w:color w:val="444444"/>
          <w:sz w:val="20"/>
          <w:szCs w:val="20"/>
        </w:rPr>
        <w:t xml:space="preserve">	19</w:t>
      </w:r>
    </w:p>
    <w:p>
      <w:pPr>
        <w:tabs>
          <w:tab w:val="right" w:pos="9360" w:leader="dot"/>
        </w:tabs>
        <w:spacing w:after="30" w:before="30"/>
      </w:pPr>
      <w:r>
        <w:rPr>
          <w:rFonts w:ascii="Times New Roman" w:cs="Times New Roman" w:eastAsia="Times New Roman" w:hAnsi="Times New Roman"/>
          <w:b w:val="false"/>
          <w:bCs w:val="false"/>
          <w:i w:val="false"/>
          <w:iCs w:val="false"/>
          <w:smallCaps w:val="false"/>
          <w:color w:val="444444"/>
          <w:sz w:val="20"/>
          <w:szCs w:val="20"/>
        </w:rPr>
        <w:t xml:space="preserve">11.</w:t>
      </w:r>
      <w:r>
        <w:rPr>
          <w:rFonts w:ascii="Times New Roman" w:cs="Times New Roman" w:eastAsia="Times New Roman" w:hAnsi="Times New Roman"/>
          <w:b w:val="false"/>
          <w:bCs w:val="false"/>
          <w:i w:val="false"/>
          <w:iCs w:val="false"/>
          <w:smallCaps w:val="false"/>
          <w:color w:val="111111"/>
          <w:sz w:val="20"/>
          <w:szCs w:val="20"/>
        </w:rPr>
        <w:t xml:space="preserve">  </w:t>
      </w:r>
      <w:r>
        <w:rPr>
          <w:rFonts w:ascii="Times New Roman" w:cs="Times New Roman" w:eastAsia="Times New Roman" w:hAnsi="Times New Roman"/>
          <w:b w:val="false"/>
          <w:bCs w:val="false"/>
          <w:i w:val="false"/>
          <w:iCs w:val="false"/>
          <w:smallCaps w:val="false"/>
          <w:color w:val="111111"/>
          <w:sz w:val="20"/>
          <w:szCs w:val="20"/>
        </w:rPr>
        <w:t xml:space="preserve">Fee Structure</w:t>
      </w:r>
      <w:r>
        <w:rPr>
          <w:rFonts w:ascii="Times New Roman" w:cs="Times New Roman" w:eastAsia="Times New Roman" w:hAnsi="Times New Roman"/>
          <w:b w:val="false"/>
          <w:bCs w:val="false"/>
          <w:i w:val="false"/>
          <w:iCs w:val="false"/>
          <w:smallCaps w:val="false"/>
          <w:color w:val="444444"/>
          <w:sz w:val="20"/>
          <w:szCs w:val="20"/>
        </w:rPr>
        <w:t xml:space="preserve">	21</w:t>
      </w:r>
    </w:p>
    <w:p>
      <w:pPr>
        <w:tabs>
          <w:tab w:val="right" w:pos="9360" w:leader="dot"/>
        </w:tabs>
        <w:spacing w:after="30" w:before="30"/>
      </w:pPr>
      <w:r>
        <w:rPr>
          <w:rFonts w:ascii="Times New Roman" w:cs="Times New Roman" w:eastAsia="Times New Roman" w:hAnsi="Times New Roman"/>
          <w:b w:val="false"/>
          <w:bCs w:val="false"/>
          <w:i w:val="false"/>
          <w:iCs w:val="false"/>
          <w:smallCaps w:val="false"/>
          <w:color w:val="444444"/>
          <w:sz w:val="20"/>
          <w:szCs w:val="20"/>
        </w:rPr>
        <w:t xml:space="preserve">12.</w:t>
      </w:r>
      <w:r>
        <w:rPr>
          <w:rFonts w:ascii="Times New Roman" w:cs="Times New Roman" w:eastAsia="Times New Roman" w:hAnsi="Times New Roman"/>
          <w:b w:val="false"/>
          <w:bCs w:val="false"/>
          <w:i w:val="false"/>
          <w:iCs w:val="false"/>
          <w:smallCaps w:val="false"/>
          <w:color w:val="111111"/>
          <w:sz w:val="20"/>
          <w:szCs w:val="20"/>
        </w:rPr>
        <w:t xml:space="preserve">  </w:t>
      </w:r>
      <w:r>
        <w:rPr>
          <w:rFonts w:ascii="Times New Roman" w:cs="Times New Roman" w:eastAsia="Times New Roman" w:hAnsi="Times New Roman"/>
          <w:b w:val="false"/>
          <w:bCs w:val="false"/>
          <w:i w:val="false"/>
          <w:iCs w:val="false"/>
          <w:smallCaps w:val="false"/>
          <w:color w:val="111111"/>
          <w:sz w:val="20"/>
          <w:szCs w:val="20"/>
        </w:rPr>
        <w:t xml:space="preserve">Income Sharing and Revenue Model</w:t>
      </w:r>
      <w:r>
        <w:rPr>
          <w:rFonts w:ascii="Times New Roman" w:cs="Times New Roman" w:eastAsia="Times New Roman" w:hAnsi="Times New Roman"/>
          <w:b w:val="false"/>
          <w:bCs w:val="false"/>
          <w:i w:val="false"/>
          <w:iCs w:val="false"/>
          <w:smallCaps w:val="false"/>
          <w:color w:val="444444"/>
          <w:sz w:val="20"/>
          <w:szCs w:val="20"/>
        </w:rPr>
        <w:t xml:space="preserve">	23</w:t>
      </w:r>
    </w:p>
    <w:p>
      <w:pPr>
        <w:tabs>
          <w:tab w:val="right" w:pos="9360" w:leader="dot"/>
        </w:tabs>
        <w:spacing w:after="30" w:before="30"/>
      </w:pPr>
      <w:r>
        <w:rPr>
          <w:rFonts w:ascii="Times New Roman" w:cs="Times New Roman" w:eastAsia="Times New Roman" w:hAnsi="Times New Roman"/>
          <w:b w:val="false"/>
          <w:bCs w:val="false"/>
          <w:i w:val="false"/>
          <w:iCs w:val="false"/>
          <w:smallCaps w:val="false"/>
          <w:color w:val="444444"/>
          <w:sz w:val="20"/>
          <w:szCs w:val="20"/>
        </w:rPr>
        <w:t xml:space="preserve">13.</w:t>
      </w:r>
      <w:r>
        <w:rPr>
          <w:rFonts w:ascii="Times New Roman" w:cs="Times New Roman" w:eastAsia="Times New Roman" w:hAnsi="Times New Roman"/>
          <w:b w:val="false"/>
          <w:bCs w:val="false"/>
          <w:i w:val="false"/>
          <w:iCs w:val="false"/>
          <w:smallCaps w:val="false"/>
          <w:color w:val="111111"/>
          <w:sz w:val="20"/>
          <w:szCs w:val="20"/>
        </w:rPr>
        <w:t xml:space="preserve">  </w:t>
      </w:r>
      <w:r>
        <w:rPr>
          <w:rFonts w:ascii="Times New Roman" w:cs="Times New Roman" w:eastAsia="Times New Roman" w:hAnsi="Times New Roman"/>
          <w:b w:val="false"/>
          <w:bCs w:val="false"/>
          <w:i w:val="false"/>
          <w:iCs w:val="false"/>
          <w:smallCaps w:val="false"/>
          <w:color w:val="111111"/>
          <w:sz w:val="20"/>
          <w:szCs w:val="20"/>
        </w:rPr>
        <w:t xml:space="preserve">Task Economy</w:t>
      </w:r>
      <w:r>
        <w:rPr>
          <w:rFonts w:ascii="Times New Roman" w:cs="Times New Roman" w:eastAsia="Times New Roman" w:hAnsi="Times New Roman"/>
          <w:b w:val="false"/>
          <w:bCs w:val="false"/>
          <w:i w:val="false"/>
          <w:iCs w:val="false"/>
          <w:smallCaps w:val="false"/>
          <w:color w:val="444444"/>
          <w:sz w:val="20"/>
          <w:szCs w:val="20"/>
        </w:rPr>
        <w:t xml:space="preserve">	26</w:t>
      </w:r>
    </w:p>
    <w:p>
      <w:pPr>
        <w:tabs>
          <w:tab w:val="right" w:pos="9360" w:leader="dot"/>
        </w:tabs>
        <w:spacing w:after="30" w:before="30"/>
      </w:pPr>
      <w:r>
        <w:rPr>
          <w:rFonts w:ascii="Times New Roman" w:cs="Times New Roman" w:eastAsia="Times New Roman" w:hAnsi="Times New Roman"/>
          <w:b w:val="false"/>
          <w:bCs w:val="false"/>
          <w:i w:val="false"/>
          <w:iCs w:val="false"/>
          <w:smallCaps w:val="false"/>
          <w:color w:val="444444"/>
          <w:sz w:val="20"/>
          <w:szCs w:val="20"/>
        </w:rPr>
        <w:t xml:space="preserve">14.</w:t>
      </w:r>
      <w:r>
        <w:rPr>
          <w:rFonts w:ascii="Times New Roman" w:cs="Times New Roman" w:eastAsia="Times New Roman" w:hAnsi="Times New Roman"/>
          <w:b w:val="false"/>
          <w:bCs w:val="false"/>
          <w:i w:val="false"/>
          <w:iCs w:val="false"/>
          <w:smallCaps w:val="false"/>
          <w:color w:val="111111"/>
          <w:sz w:val="20"/>
          <w:szCs w:val="20"/>
        </w:rPr>
        <w:t xml:space="preserve">  </w:t>
      </w:r>
      <w:r>
        <w:rPr>
          <w:rFonts w:ascii="Times New Roman" w:cs="Times New Roman" w:eastAsia="Times New Roman" w:hAnsi="Times New Roman"/>
          <w:b w:val="false"/>
          <w:bCs w:val="false"/>
          <w:i w:val="false"/>
          <w:iCs w:val="false"/>
          <w:smallCaps w:val="false"/>
          <w:color w:val="111111"/>
          <w:sz w:val="20"/>
          <w:szCs w:val="20"/>
        </w:rPr>
        <w:t xml:space="preserve">Token Holder Rights</w:t>
      </w:r>
      <w:r>
        <w:rPr>
          <w:rFonts w:ascii="Times New Roman" w:cs="Times New Roman" w:eastAsia="Times New Roman" w:hAnsi="Times New Roman"/>
          <w:b w:val="false"/>
          <w:bCs w:val="false"/>
          <w:i w:val="false"/>
          <w:iCs w:val="false"/>
          <w:smallCaps w:val="false"/>
          <w:color w:val="444444"/>
          <w:sz w:val="20"/>
          <w:szCs w:val="20"/>
        </w:rPr>
        <w:t xml:space="preserve">	29</w:t>
      </w:r>
    </w:p>
    <w:p>
      <w:pPr>
        <w:tabs>
          <w:tab w:val="right" w:pos="9360" w:leader="dot"/>
        </w:tabs>
        <w:spacing w:after="30" w:before="30"/>
      </w:pPr>
      <w:r>
        <w:rPr>
          <w:rFonts w:ascii="Times New Roman" w:cs="Times New Roman" w:eastAsia="Times New Roman" w:hAnsi="Times New Roman"/>
          <w:b w:val="false"/>
          <w:bCs w:val="false"/>
          <w:i w:val="false"/>
          <w:iCs w:val="false"/>
          <w:smallCaps w:val="false"/>
          <w:color w:val="444444"/>
          <w:sz w:val="20"/>
          <w:szCs w:val="20"/>
        </w:rPr>
        <w:t xml:space="preserve">15.</w:t>
      </w:r>
      <w:r>
        <w:rPr>
          <w:rFonts w:ascii="Times New Roman" w:cs="Times New Roman" w:eastAsia="Times New Roman" w:hAnsi="Times New Roman"/>
          <w:b w:val="false"/>
          <w:bCs w:val="false"/>
          <w:i w:val="false"/>
          <w:iCs w:val="false"/>
          <w:smallCaps w:val="false"/>
          <w:color w:val="111111"/>
          <w:sz w:val="20"/>
          <w:szCs w:val="20"/>
        </w:rPr>
        <w:t xml:space="preserve">  </w:t>
      </w:r>
      <w:r>
        <w:rPr>
          <w:rFonts w:ascii="Times New Roman" w:cs="Times New Roman" w:eastAsia="Times New Roman" w:hAnsi="Times New Roman"/>
          <w:b w:val="false"/>
          <w:bCs w:val="false"/>
          <w:i w:val="false"/>
          <w:iCs w:val="false"/>
          <w:smallCaps w:val="false"/>
          <w:color w:val="111111"/>
          <w:sz w:val="20"/>
          <w:szCs w:val="20"/>
        </w:rPr>
        <w:t xml:space="preserve">Market Cap and Token Metrics</w:t>
      </w:r>
      <w:r>
        <w:rPr>
          <w:rFonts w:ascii="Times New Roman" w:cs="Times New Roman" w:eastAsia="Times New Roman" w:hAnsi="Times New Roman"/>
          <w:b w:val="false"/>
          <w:bCs w:val="false"/>
          <w:i w:val="false"/>
          <w:iCs w:val="false"/>
          <w:smallCaps w:val="false"/>
          <w:color w:val="444444"/>
          <w:sz w:val="20"/>
          <w:szCs w:val="20"/>
        </w:rPr>
        <w:t xml:space="preserve">	30</w:t>
      </w:r>
    </w:p>
    <w:p>
      <w:pPr>
        <w:tabs>
          <w:tab w:val="right" w:pos="9360" w:leader="dot"/>
        </w:tabs>
        <w:spacing w:after="30" w:before="30"/>
      </w:pPr>
      <w:r>
        <w:rPr>
          <w:rFonts w:ascii="Times New Roman" w:cs="Times New Roman" w:eastAsia="Times New Roman" w:hAnsi="Times New Roman"/>
          <w:b w:val="false"/>
          <w:bCs w:val="false"/>
          <w:i w:val="false"/>
          <w:iCs w:val="false"/>
          <w:smallCaps w:val="false"/>
          <w:color w:val="444444"/>
          <w:sz w:val="20"/>
          <w:szCs w:val="20"/>
        </w:rPr>
        <w:t xml:space="preserve">16.</w:t>
      </w:r>
      <w:r>
        <w:rPr>
          <w:rFonts w:ascii="Times New Roman" w:cs="Times New Roman" w:eastAsia="Times New Roman" w:hAnsi="Times New Roman"/>
          <w:b w:val="false"/>
          <w:bCs w:val="false"/>
          <w:i w:val="false"/>
          <w:iCs w:val="false"/>
          <w:smallCaps w:val="false"/>
          <w:color w:val="111111"/>
          <w:sz w:val="20"/>
          <w:szCs w:val="20"/>
        </w:rPr>
        <w:t xml:space="preserve">  </w:t>
      </w:r>
      <w:r>
        <w:rPr>
          <w:rFonts w:ascii="Times New Roman" w:cs="Times New Roman" w:eastAsia="Times New Roman" w:hAnsi="Times New Roman"/>
          <w:b w:val="false"/>
          <w:bCs w:val="false"/>
          <w:i w:val="false"/>
          <w:iCs w:val="false"/>
          <w:smallCaps w:val="false"/>
          <w:color w:val="111111"/>
          <w:sz w:val="20"/>
          <w:szCs w:val="20"/>
        </w:rPr>
        <w:t xml:space="preserve">Go-To-Market Strategy</w:t>
      </w:r>
      <w:r>
        <w:rPr>
          <w:rFonts w:ascii="Times New Roman" w:cs="Times New Roman" w:eastAsia="Times New Roman" w:hAnsi="Times New Roman"/>
          <w:b w:val="false"/>
          <w:bCs w:val="false"/>
          <w:i w:val="false"/>
          <w:iCs w:val="false"/>
          <w:smallCaps w:val="false"/>
          <w:color w:val="444444"/>
          <w:sz w:val="20"/>
          <w:szCs w:val="20"/>
        </w:rPr>
        <w:t xml:space="preserve">	31</w:t>
      </w:r>
    </w:p>
    <w:p>
      <w:pPr>
        <w:tabs>
          <w:tab w:val="right" w:pos="9360" w:leader="dot"/>
        </w:tabs>
        <w:spacing w:after="30" w:before="30"/>
      </w:pPr>
      <w:r>
        <w:rPr>
          <w:rFonts w:ascii="Times New Roman" w:cs="Times New Roman" w:eastAsia="Times New Roman" w:hAnsi="Times New Roman"/>
          <w:b w:val="false"/>
          <w:bCs w:val="false"/>
          <w:i w:val="false"/>
          <w:iCs w:val="false"/>
          <w:smallCaps w:val="false"/>
          <w:color w:val="444444"/>
          <w:sz w:val="20"/>
          <w:szCs w:val="20"/>
        </w:rPr>
        <w:t xml:space="preserve">17.</w:t>
      </w:r>
      <w:r>
        <w:rPr>
          <w:rFonts w:ascii="Times New Roman" w:cs="Times New Roman" w:eastAsia="Times New Roman" w:hAnsi="Times New Roman"/>
          <w:b w:val="false"/>
          <w:bCs w:val="false"/>
          <w:i w:val="false"/>
          <w:iCs w:val="false"/>
          <w:smallCaps w:val="false"/>
          <w:color w:val="111111"/>
          <w:sz w:val="20"/>
          <w:szCs w:val="20"/>
        </w:rPr>
        <w:t xml:space="preserve">  </w:t>
      </w:r>
      <w:r>
        <w:rPr>
          <w:rFonts w:ascii="Times New Roman" w:cs="Times New Roman" w:eastAsia="Times New Roman" w:hAnsi="Times New Roman"/>
          <w:b w:val="false"/>
          <w:bCs w:val="false"/>
          <w:i w:val="false"/>
          <w:iCs w:val="false"/>
          <w:smallCaps w:val="false"/>
          <w:color w:val="111111"/>
          <w:sz w:val="20"/>
          <w:szCs w:val="20"/>
        </w:rPr>
        <w:t xml:space="preserve">Token Utility Statement</w:t>
      </w:r>
      <w:r>
        <w:rPr>
          <w:rFonts w:ascii="Times New Roman" w:cs="Times New Roman" w:eastAsia="Times New Roman" w:hAnsi="Times New Roman"/>
          <w:b w:val="false"/>
          <w:bCs w:val="false"/>
          <w:i w:val="false"/>
          <w:iCs w:val="false"/>
          <w:smallCaps w:val="false"/>
          <w:color w:val="444444"/>
          <w:sz w:val="20"/>
          <w:szCs w:val="20"/>
        </w:rPr>
        <w:t xml:space="preserve">	33</w:t>
      </w:r>
    </w:p>
    <w:p>
      <w:pPr>
        <w:tabs>
          <w:tab w:val="right" w:pos="9360" w:leader="dot"/>
        </w:tabs>
        <w:spacing w:after="30" w:before="30"/>
      </w:pPr>
      <w:r>
        <w:rPr>
          <w:rFonts w:ascii="Times New Roman" w:cs="Times New Roman" w:eastAsia="Times New Roman" w:hAnsi="Times New Roman"/>
          <w:b w:val="false"/>
          <w:bCs w:val="false"/>
          <w:i w:val="false"/>
          <w:iCs w:val="false"/>
          <w:smallCaps w:val="false"/>
          <w:color w:val="444444"/>
          <w:sz w:val="20"/>
          <w:szCs w:val="20"/>
        </w:rPr>
        <w:t xml:space="preserve">18.</w:t>
      </w:r>
      <w:r>
        <w:rPr>
          <w:rFonts w:ascii="Times New Roman" w:cs="Times New Roman" w:eastAsia="Times New Roman" w:hAnsi="Times New Roman"/>
          <w:b w:val="false"/>
          <w:bCs w:val="false"/>
          <w:i w:val="false"/>
          <w:iCs w:val="false"/>
          <w:smallCaps w:val="false"/>
          <w:color w:val="111111"/>
          <w:sz w:val="20"/>
          <w:szCs w:val="20"/>
        </w:rPr>
        <w:t xml:space="preserve">  </w:t>
      </w:r>
      <w:r>
        <w:rPr>
          <w:rFonts w:ascii="Times New Roman" w:cs="Times New Roman" w:eastAsia="Times New Roman" w:hAnsi="Times New Roman"/>
          <w:b w:val="false"/>
          <w:bCs w:val="false"/>
          <w:i w:val="false"/>
          <w:iCs w:val="false"/>
          <w:smallCaps w:val="false"/>
          <w:color w:val="111111"/>
          <w:sz w:val="20"/>
          <w:szCs w:val="20"/>
        </w:rPr>
        <w:t xml:space="preserve">Roadmap</w:t>
      </w:r>
      <w:r>
        <w:rPr>
          <w:rFonts w:ascii="Times New Roman" w:cs="Times New Roman" w:eastAsia="Times New Roman" w:hAnsi="Times New Roman"/>
          <w:b w:val="false"/>
          <w:bCs w:val="false"/>
          <w:i w:val="false"/>
          <w:iCs w:val="false"/>
          <w:smallCaps w:val="false"/>
          <w:color w:val="444444"/>
          <w:sz w:val="20"/>
          <w:szCs w:val="20"/>
        </w:rPr>
        <w:t xml:space="preserve">	34</w:t>
      </w:r>
    </w:p>
    <w:p>
      <w:pPr>
        <w:tabs>
          <w:tab w:val="right" w:pos="9360" w:leader="dot"/>
        </w:tabs>
        <w:spacing w:after="30" w:before="30"/>
      </w:pPr>
      <w:r>
        <w:rPr>
          <w:rFonts w:ascii="Times New Roman" w:cs="Times New Roman" w:eastAsia="Times New Roman" w:hAnsi="Times New Roman"/>
          <w:b w:val="false"/>
          <w:bCs w:val="false"/>
          <w:i w:val="false"/>
          <w:iCs w:val="false"/>
          <w:smallCaps w:val="false"/>
          <w:color w:val="444444"/>
          <w:sz w:val="20"/>
          <w:szCs w:val="20"/>
        </w:rPr>
        <w:t xml:space="preserve">19.</w:t>
      </w:r>
      <w:r>
        <w:rPr>
          <w:rFonts w:ascii="Times New Roman" w:cs="Times New Roman" w:eastAsia="Times New Roman" w:hAnsi="Times New Roman"/>
          <w:b w:val="false"/>
          <w:bCs w:val="false"/>
          <w:i w:val="false"/>
          <w:iCs w:val="false"/>
          <w:smallCaps w:val="false"/>
          <w:color w:val="111111"/>
          <w:sz w:val="20"/>
          <w:szCs w:val="20"/>
        </w:rPr>
        <w:t xml:space="preserve">  </w:t>
      </w:r>
      <w:r>
        <w:rPr>
          <w:rFonts w:ascii="Times New Roman" w:cs="Times New Roman" w:eastAsia="Times New Roman" w:hAnsi="Times New Roman"/>
          <w:b w:val="false"/>
          <w:bCs w:val="false"/>
          <w:i w:val="false"/>
          <w:iCs w:val="false"/>
          <w:smallCaps w:val="false"/>
          <w:color w:val="111111"/>
          <w:sz w:val="20"/>
          <w:szCs w:val="20"/>
        </w:rPr>
        <w:t xml:space="preserve">Risk Analysis</w:t>
      </w:r>
      <w:r>
        <w:rPr>
          <w:rFonts w:ascii="Times New Roman" w:cs="Times New Roman" w:eastAsia="Times New Roman" w:hAnsi="Times New Roman"/>
          <w:b w:val="false"/>
          <w:bCs w:val="false"/>
          <w:i w:val="false"/>
          <w:iCs w:val="false"/>
          <w:smallCaps w:val="false"/>
          <w:color w:val="444444"/>
          <w:sz w:val="20"/>
          <w:szCs w:val="20"/>
        </w:rPr>
        <w:t xml:space="preserve">	36</w:t>
      </w:r>
    </w:p>
    <w:p>
      <w:pPr>
        <w:tabs>
          <w:tab w:val="right" w:pos="9360" w:leader="dot"/>
        </w:tabs>
        <w:spacing w:after="30" w:before="30"/>
      </w:pPr>
      <w:r>
        <w:rPr>
          <w:rFonts w:ascii="Times New Roman" w:cs="Times New Roman" w:eastAsia="Times New Roman" w:hAnsi="Times New Roman"/>
          <w:b w:val="false"/>
          <w:bCs w:val="false"/>
          <w:i w:val="false"/>
          <w:iCs w:val="false"/>
          <w:smallCaps w:val="false"/>
          <w:color w:val="444444"/>
          <w:sz w:val="20"/>
          <w:szCs w:val="20"/>
        </w:rPr>
        <w:t xml:space="preserve">20.</w:t>
      </w:r>
      <w:r>
        <w:rPr>
          <w:rFonts w:ascii="Times New Roman" w:cs="Times New Roman" w:eastAsia="Times New Roman" w:hAnsi="Times New Roman"/>
          <w:b w:val="false"/>
          <w:bCs w:val="false"/>
          <w:i w:val="false"/>
          <w:iCs w:val="false"/>
          <w:smallCaps w:val="false"/>
          <w:color w:val="111111"/>
          <w:sz w:val="20"/>
          <w:szCs w:val="20"/>
        </w:rPr>
        <w:t xml:space="preserve">  </w:t>
      </w:r>
      <w:r>
        <w:rPr>
          <w:rFonts w:ascii="Times New Roman" w:cs="Times New Roman" w:eastAsia="Times New Roman" w:hAnsi="Times New Roman"/>
          <w:b w:val="false"/>
          <w:bCs w:val="false"/>
          <w:i w:val="false"/>
          <w:iCs w:val="false"/>
          <w:smallCaps w:val="false"/>
          <w:color w:val="111111"/>
          <w:sz w:val="20"/>
          <w:szCs w:val="20"/>
        </w:rPr>
        <w:t xml:space="preserve">Technical Appendix</w:t>
      </w:r>
      <w:r>
        <w:rPr>
          <w:rFonts w:ascii="Times New Roman" w:cs="Times New Roman" w:eastAsia="Times New Roman" w:hAnsi="Times New Roman"/>
          <w:b w:val="false"/>
          <w:bCs w:val="false"/>
          <w:i w:val="false"/>
          <w:iCs w:val="false"/>
          <w:smallCaps w:val="false"/>
          <w:color w:val="444444"/>
          <w:sz w:val="20"/>
          <w:szCs w:val="20"/>
        </w:rPr>
        <w:t xml:space="preserve">	38</w:t>
      </w:r>
    </w:p>
    <w:p>
      <w:pPr>
        <w:tabs>
          <w:tab w:val="right" w:pos="9360" w:leader="dot"/>
        </w:tabs>
        <w:spacing w:after="30" w:before="30"/>
      </w:pPr>
      <w:r>
        <w:rPr>
          <w:rFonts w:ascii="Times New Roman" w:cs="Times New Roman" w:eastAsia="Times New Roman" w:hAnsi="Times New Roman"/>
          <w:b w:val="false"/>
          <w:bCs w:val="false"/>
          <w:i w:val="false"/>
          <w:iCs w:val="false"/>
          <w:smallCaps w:val="false"/>
          <w:color w:val="444444"/>
          <w:sz w:val="20"/>
          <w:szCs w:val="20"/>
        </w:rPr>
        <w:t xml:space="preserve">21.</w:t>
      </w:r>
      <w:r>
        <w:rPr>
          <w:rFonts w:ascii="Times New Roman" w:cs="Times New Roman" w:eastAsia="Times New Roman" w:hAnsi="Times New Roman"/>
          <w:b w:val="false"/>
          <w:bCs w:val="false"/>
          <w:i w:val="false"/>
          <w:iCs w:val="false"/>
          <w:smallCaps w:val="false"/>
          <w:color w:val="111111"/>
          <w:sz w:val="20"/>
          <w:szCs w:val="20"/>
        </w:rPr>
        <w:t xml:space="preserve">  </w:t>
      </w:r>
      <w:r>
        <w:rPr>
          <w:rFonts w:ascii="Times New Roman" w:cs="Times New Roman" w:eastAsia="Times New Roman" w:hAnsi="Times New Roman"/>
          <w:b w:val="false"/>
          <w:bCs w:val="false"/>
          <w:i w:val="false"/>
          <w:iCs w:val="false"/>
          <w:smallCaps w:val="false"/>
          <w:color w:val="111111"/>
          <w:sz w:val="20"/>
          <w:szCs w:val="20"/>
        </w:rPr>
        <w:t xml:space="preserve">Disclaimer</w:t>
      </w:r>
      <w:r>
        <w:rPr>
          <w:rFonts w:ascii="Times New Roman" w:cs="Times New Roman" w:eastAsia="Times New Roman" w:hAnsi="Times New Roman"/>
          <w:b w:val="false"/>
          <w:bCs w:val="false"/>
          <w:i w:val="false"/>
          <w:iCs w:val="false"/>
          <w:smallCaps w:val="false"/>
          <w:color w:val="444444"/>
          <w:sz w:val="20"/>
          <w:szCs w:val="20"/>
        </w:rPr>
        <w:t xml:space="preserve">	44</w:t>
      </w:r>
    </w:p>
    <w:p>
      <w:r>
        <w:br w:type="page"/>
      </w:r>
    </w:p>
    <w:p>
      <w:pPr>
        <w:pStyle w:val="Heading1"/>
        <w:pBdr>
          <w:bottom w:val="single" w:color="1A1A1A" w:sz="6" w:space="6"/>
        </w:pBdr>
        <w:spacing w:after="160" w:before="480"/>
      </w:pPr>
      <w:r>
        <w:rPr>
          <w:rFonts w:ascii="Times New Roman" w:cs="Times New Roman" w:eastAsia="Times New Roman" w:hAnsi="Times New Roman"/>
          <w:b/>
          <w:bCs/>
          <w:i w:val="false"/>
          <w:iCs w:val="false"/>
          <w:smallCaps w:val="false"/>
          <w:color w:val="111111"/>
          <w:sz w:val="28"/>
          <w:szCs w:val="28"/>
        </w:rPr>
        <w:t xml:space="preserve">1.   </w:t>
      </w:r>
      <w:r>
        <w:rPr>
          <w:rFonts w:ascii="Times New Roman" w:cs="Times New Roman" w:eastAsia="Times New Roman" w:hAnsi="Times New Roman"/>
          <w:b/>
          <w:bCs/>
          <w:i w:val="false"/>
          <w:iCs w:val="false"/>
          <w:smallCaps/>
          <w:color w:val="111111"/>
          <w:sz w:val="28"/>
          <w:szCs w:val="28"/>
        </w:rPr>
        <w:t xml:space="preserve">INTRODUCTION</w:t>
      </w:r>
    </w:p>
    <w:p>
      <w:pPr>
        <w:pStyle w:val="Heading2"/>
        <w:spacing w:after="100" w:before="320"/>
      </w:pPr>
      <w:r>
        <w:rPr>
          <w:rFonts w:ascii="Times New Roman" w:cs="Times New Roman" w:eastAsia="Times New Roman" w:hAnsi="Times New Roman"/>
          <w:b/>
          <w:bCs/>
          <w:i w:val="false"/>
          <w:iCs w:val="false"/>
          <w:smallCaps w:val="false"/>
          <w:color w:val="111111"/>
          <w:sz w:val="24"/>
          <w:szCs w:val="24"/>
        </w:rPr>
        <w:t xml:space="preserve">1.1  The State of the Creator Economy</w:t>
      </w:r>
    </w:p>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The global creator economy represents one of the largest and most rapidly growing economic sectors of the modern internet. Goldman Sachs projects the creator economy will reach $470 billion in value by 2027, encompassing hundreds of millions of creators, influencers, entertainers, and knowledge workers who collectively generate economic activity for platform operators, advertisers, and supporting industries.</w:t>
      </w:r>
    </w:p>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Despite this scale, the fundamental economic relationship between creators and their audiences remains extractive. Platform operators capture the majority of economic value — YouTube retains approximately 45% of creator advertising revenue, while the audience whose attention creates that value receives nothing. This misalignment has persisted because no mechanism existed to convert audience participation into economic ownership.</w:t>
      </w:r>
    </w:p>
    <w:p>
      <w:pPr>
        <w:pStyle w:val="Heading2"/>
        <w:spacing w:after="100" w:before="320"/>
      </w:pPr>
      <w:r>
        <w:rPr>
          <w:rFonts w:ascii="Times New Roman" w:cs="Times New Roman" w:eastAsia="Times New Roman" w:hAnsi="Times New Roman"/>
          <w:b/>
          <w:bCs/>
          <w:i w:val="false"/>
          <w:iCs w:val="false"/>
          <w:smallCaps w:val="false"/>
          <w:color w:val="111111"/>
          <w:sz w:val="24"/>
          <w:szCs w:val="24"/>
        </w:rPr>
        <w:t xml:space="preserve">1.2  The Promise and Failure of SocialFi 1.0</w:t>
      </w:r>
    </w:p>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Social Finance — the convergence of social media dynamics with decentralised finance infrastructure — promised to restructure this relationship. Friend.tech, launched in August 2023 on the Base blockchain, demonstrated the latent demand. Within weeks of launch, the platform achieved $10 million in daily trading volume. By September 2023, cumulative fees exceeded $25 million. Stars Arena, Post.tech, Tribe.run, Friendzy, and numerous clones followed in rapid succession.</w:t>
      </w:r>
    </w:p>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The collapse was equally rapid and total. Within six months, Friend.tech revenues declined by more than 99.9% — from over $2 million per day at peak to $71 in fees on the one-year anniversary of its launch. Stars Arena suffered a contract exploit. Post.tech daily volume fell from $5 million to under $10,000. Tribe.run achieved a brief viral moment driven by an AI influencer recommendation before fading within weeks. By mid-2024, the entire SocialFi sector had lost 98% of its daily transaction volume from peak.</w:t>
      </w:r>
    </w:p>
    <w:p>
      <w:pPr>
        <w:pStyle w:val="Heading2"/>
        <w:spacing w:after="100" w:before="320"/>
      </w:pPr>
      <w:r>
        <w:rPr>
          <w:rFonts w:ascii="Times New Roman" w:cs="Times New Roman" w:eastAsia="Times New Roman" w:hAnsi="Times New Roman"/>
          <w:b/>
          <w:bCs/>
          <w:i w:val="false"/>
          <w:iCs w:val="false"/>
          <w:smallCaps w:val="false"/>
          <w:color w:val="111111"/>
          <w:sz w:val="24"/>
          <w:szCs w:val="24"/>
        </w:rPr>
        <w:t xml:space="preserve">1.3  Structural Diagnosis</w:t>
      </w:r>
    </w:p>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The failure of SocialFi 1.0 was structural rather than circumstantial. A post-mortem analysis by Tiger Research identified the core problem: platforms offered no utility beyond speculation. Token holders could access private chat rooms — and nothing else. When the novelty of that access faded, there was no rational basis for continued holding. The following structural deficiencies were present across all major SocialFi 1.0 platforms:</w:t>
      </w:r>
    </w:p>
    <w:p>
      <w:pPr>
        <w:pStyle w:val="ListParagraph"/>
        <w:numPr>
          <w:ilvl w:val="0"/>
          <w:numId w:val="2"/>
        </w:numPr>
        <w:spacing w:after="80" w:before="40"/>
      </w:pPr>
      <w:r>
        <w:rPr>
          <w:rFonts w:ascii="Times New Roman" w:cs="Times New Roman" w:eastAsia="Times New Roman" w:hAnsi="Times New Roman"/>
          <w:b w:val="false"/>
          <w:bCs w:val="false"/>
          <w:i w:val="false"/>
          <w:iCs w:val="false"/>
          <w:smallCaps w:val="false"/>
          <w:color w:val="111111"/>
          <w:sz w:val="22"/>
          <w:szCs w:val="22"/>
        </w:rPr>
        <w:t xml:space="preserve">Pure speculative utility. No income rights, no task economy, no functional community features beyond basic gated messaging.</w:t>
      </w:r>
    </w:p>
    <w:p>
      <w:pPr>
        <w:pStyle w:val="ListParagraph"/>
        <w:numPr>
          <w:ilvl w:val="0"/>
          <w:numId w:val="2"/>
        </w:numPr>
        <w:spacing w:after="80" w:before="40"/>
      </w:pPr>
      <w:r>
        <w:rPr>
          <w:rFonts w:ascii="Times New Roman" w:cs="Times New Roman" w:eastAsia="Times New Roman" w:hAnsi="Times New Roman"/>
          <w:b w:val="false"/>
          <w:bCs w:val="false"/>
          <w:i w:val="false"/>
          <w:iCs w:val="false"/>
          <w:smallCaps w:val="false"/>
          <w:color w:val="111111"/>
          <w:sz w:val="22"/>
          <w:szCs w:val="22"/>
        </w:rPr>
        <w:t xml:space="preserve">No creator accountability. Anonymous creators could launch tokens, earn trading fees from their own key sales, and exit without consequence.</w:t>
      </w:r>
    </w:p>
    <w:p>
      <w:pPr>
        <w:pStyle w:val="ListParagraph"/>
        <w:numPr>
          <w:ilvl w:val="0"/>
          <w:numId w:val="2"/>
        </w:numPr>
        <w:spacing w:after="80" w:before="40"/>
      </w:pPr>
      <w:r>
        <w:rPr>
          <w:rFonts w:ascii="Times New Roman" w:cs="Times New Roman" w:eastAsia="Times New Roman" w:hAnsi="Times New Roman"/>
          <w:b w:val="false"/>
          <w:bCs w:val="false"/>
          <w:i w:val="false"/>
          <w:iCs w:val="false"/>
          <w:smallCaps w:val="false"/>
          <w:color w:val="111111"/>
          <w:sz w:val="22"/>
          <w:szCs w:val="22"/>
        </w:rPr>
        <w:t xml:space="preserve">Exclusionary pricing curves. Friend.tech's quadratic pricing curve made shares prohibitively expensive within weeks, blocking new community participants and concentrating value among early speculators.</w:t>
      </w:r>
    </w:p>
    <w:p>
      <w:pPr>
        <w:pStyle w:val="ListParagraph"/>
        <w:numPr>
          <w:ilvl w:val="0"/>
          <w:numId w:val="2"/>
        </w:numPr>
        <w:spacing w:after="80" w:before="40"/>
      </w:pPr>
      <w:r>
        <w:rPr>
          <w:rFonts w:ascii="Times New Roman" w:cs="Times New Roman" w:eastAsia="Times New Roman" w:hAnsi="Times New Roman"/>
          <w:b w:val="false"/>
          <w:bCs w:val="false"/>
          <w:i w:val="false"/>
          <w:iCs w:val="false"/>
          <w:smallCaps w:val="false"/>
          <w:color w:val="111111"/>
          <w:sz w:val="22"/>
          <w:szCs w:val="22"/>
        </w:rPr>
        <w:t xml:space="preserve">No vesting or lock-up mechanisms. Creators faced zero friction when selling their own keys or walking away from their community.</w:t>
      </w:r>
    </w:p>
    <w:p>
      <w:pPr>
        <w:pStyle w:val="ListParagraph"/>
        <w:numPr>
          <w:ilvl w:val="0"/>
          <w:numId w:val="2"/>
        </w:numPr>
        <w:spacing w:after="80" w:before="40"/>
      </w:pPr>
      <w:r>
        <w:rPr>
          <w:rFonts w:ascii="Times New Roman" w:cs="Times New Roman" w:eastAsia="Times New Roman" w:hAnsi="Times New Roman"/>
          <w:b w:val="false"/>
          <w:bCs w:val="false"/>
          <w:i w:val="false"/>
          <w:iCs w:val="false"/>
          <w:smallCaps w:val="false"/>
          <w:color w:val="111111"/>
          <w:sz w:val="22"/>
          <w:szCs w:val="22"/>
        </w:rPr>
        <w:t xml:space="preserve">No incentive to hold. Without income rights, staking rewards, or functional community utility, rational actors sold as soon as price peaked.</w:t>
      </w:r>
    </w:p>
    <w:p>
      <w:pPr>
        <w:spacing w:after="120" w:before="40" w:line="276"/>
        <w:ind w:left="720"/>
        <w:jc w:val="both"/>
      </w:pPr>
      <w:r>
        <w:rPr>
          <w:rFonts w:ascii="Times New Roman" w:cs="Times New Roman" w:eastAsia="Times New Roman" w:hAnsi="Times New Roman"/>
          <w:b/>
          <w:bCs/>
          <w:i w:val="false"/>
          <w:iCs w:val="false"/>
          <w:smallCaps w:val="false"/>
          <w:color w:val="111111"/>
          <w:sz w:val="20"/>
          <w:szCs w:val="20"/>
        </w:rPr>
        <w:t xml:space="preserve">Note: </w:t>
      </w:r>
      <w:r>
        <w:rPr>
          <w:rFonts w:ascii="Times New Roman" w:cs="Times New Roman" w:eastAsia="Times New Roman" w:hAnsi="Times New Roman"/>
          <w:b w:val="false"/>
          <w:bCs w:val="false"/>
          <w:i/>
          <w:iCs/>
          <w:smallCaps w:val="false"/>
          <w:color w:val="444444"/>
          <w:sz w:val="20"/>
          <w:szCs w:val="20"/>
        </w:rPr>
        <w:t xml:space="preserve">The quadratic pricing formula used by Friend.tech — price = n²/16000 where n is outstanding supply — creates exponential price appreciation that benefits early participants disproportionately and prices out later community members. This is economically equivalent to a Ponzi structure requiring constant new entrant capital to sustain existing holder value.</w:t>
      </w:r>
    </w:p>
    <w:p>
      <w:pPr>
        <w:pStyle w:val="Heading2"/>
        <w:spacing w:after="100" w:before="320"/>
      </w:pPr>
      <w:r>
        <w:rPr>
          <w:rFonts w:ascii="Times New Roman" w:cs="Times New Roman" w:eastAsia="Times New Roman" w:hAnsi="Times New Roman"/>
          <w:b/>
          <w:bCs/>
          <w:i w:val="false"/>
          <w:iCs w:val="false"/>
          <w:smallCaps w:val="false"/>
          <w:color w:val="111111"/>
          <w:sz w:val="24"/>
          <w:szCs w:val="24"/>
        </w:rPr>
        <w:t xml:space="preserve">1.4  The Opportunity</w:t>
      </w:r>
    </w:p>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The failure of SocialFi 1.0 platforms did not invalidate the underlying thesis. Arena V2, relaunched in May 2025 with integrated bonding curve mechanics, native DEX infrastructure, and meaningful social features, demonstrated renewed market viability. Within two months of relaunch, Arena captured 99% of Avalanche's SocialFi TVL and generated $284 million in monthly swap volume.</w:t>
      </w:r>
    </w:p>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People.market is designed to capitalise on this demonstrated demand while solving the structural deficiencies that caused SocialFi 1.0 to fail. The platform introduces genuine financial rights for token holders, verifiable creator accountability through social identity, long-term creator alignment through vesting, and real utility through a native task economy. These are not incremental improvements — they represent a fundamentally different economic model.</w:t>
      </w:r>
    </w:p>
    <w:p>
      <w:r>
        <w:br w:type="page"/>
      </w:r>
    </w:p>
    <w:p>
      <w:pPr>
        <w:pStyle w:val="Heading1"/>
        <w:pBdr>
          <w:bottom w:val="single" w:color="1A1A1A" w:sz="6" w:space="6"/>
        </w:pBdr>
        <w:spacing w:after="160" w:before="480"/>
      </w:pPr>
      <w:r>
        <w:rPr>
          <w:rFonts w:ascii="Times New Roman" w:cs="Times New Roman" w:eastAsia="Times New Roman" w:hAnsi="Times New Roman"/>
          <w:b/>
          <w:bCs/>
          <w:i w:val="false"/>
          <w:iCs w:val="false"/>
          <w:smallCaps w:val="false"/>
          <w:color w:val="111111"/>
          <w:sz w:val="28"/>
          <w:szCs w:val="28"/>
        </w:rPr>
        <w:t xml:space="preserve">2.   </w:t>
      </w:r>
      <w:r>
        <w:rPr>
          <w:rFonts w:ascii="Times New Roman" w:cs="Times New Roman" w:eastAsia="Times New Roman" w:hAnsi="Times New Roman"/>
          <w:b/>
          <w:bCs/>
          <w:i w:val="false"/>
          <w:iCs w:val="false"/>
          <w:smallCaps/>
          <w:color w:val="111111"/>
          <w:sz w:val="28"/>
          <w:szCs w:val="28"/>
        </w:rPr>
        <w:t xml:space="preserve">PLATFORM VISION</w:t>
      </w:r>
    </w:p>
    <w:p>
      <w:pPr>
        <w:pStyle w:val="Heading2"/>
        <w:spacing w:after="100" w:before="320"/>
      </w:pPr>
      <w:r>
        <w:rPr>
          <w:rFonts w:ascii="Times New Roman" w:cs="Times New Roman" w:eastAsia="Times New Roman" w:hAnsi="Times New Roman"/>
          <w:b/>
          <w:bCs/>
          <w:i w:val="false"/>
          <w:iCs w:val="false"/>
          <w:smallCaps w:val="false"/>
          <w:color w:val="111111"/>
          <w:sz w:val="24"/>
          <w:szCs w:val="24"/>
        </w:rPr>
        <w:t xml:space="preserve">2.1  Mission</w:t>
      </w:r>
    </w:p>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People.market is a Social Finance platform enabling any creator to launch a fixed-supply personal token through which their community can invest early, earn by contributing, and share proportionally in their success. The platform's economic model treats every participant as a co-owner rather than a customer or user.</w:t>
      </w:r>
    </w:p>
    <w:p>
      <w:pPr>
        <w:pStyle w:val="Heading2"/>
        <w:spacing w:after="100" w:before="320"/>
      </w:pPr>
      <w:r>
        <w:rPr>
          <w:rFonts w:ascii="Times New Roman" w:cs="Times New Roman" w:eastAsia="Times New Roman" w:hAnsi="Times New Roman"/>
          <w:b/>
          <w:bCs/>
          <w:i w:val="false"/>
          <w:iCs w:val="false"/>
          <w:smallCaps w:val="false"/>
          <w:color w:val="111111"/>
          <w:sz w:val="24"/>
          <w:szCs w:val="24"/>
        </w:rPr>
        <w:t xml:space="preserve">2.2  Core Product Features</w:t>
      </w:r>
    </w:p>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The platform delivers six integrated features that collectively constitute a complete SocialFi ecosystem:</w:t>
      </w:r>
    </w:p>
    <w:p>
      <w:pPr>
        <w:pStyle w:val="ListParagraph"/>
        <w:numPr>
          <w:ilvl w:val="0"/>
          <w:numId w:val="3"/>
        </w:numPr>
        <w:spacing w:after="80" w:before="40"/>
      </w:pPr>
      <w:r>
        <w:rPr>
          <w:rFonts w:ascii="Times New Roman" w:cs="Times New Roman" w:eastAsia="Times New Roman" w:hAnsi="Times New Roman"/>
          <w:b w:val="false"/>
          <w:bCs w:val="false"/>
          <w:i w:val="false"/>
          <w:iCs w:val="false"/>
          <w:smallCaps w:val="false"/>
          <w:color w:val="111111"/>
          <w:sz w:val="22"/>
          <w:szCs w:val="22"/>
        </w:rPr>
        <w:t xml:space="preserve">Personal token launch. Any creator meeting verification requirements can deploy a 100-million fixed-supply Solana SPL token through an exponential bonding curve at a universal starting price of $0.003, with automatic DEX migration upon bonding curve completion.</w:t>
      </w:r>
    </w:p>
    <w:p>
      <w:pPr>
        <w:pStyle w:val="ListParagraph"/>
        <w:numPr>
          <w:ilvl w:val="0"/>
          <w:numId w:val="3"/>
        </w:numPr>
        <w:spacing w:after="80" w:before="40"/>
      </w:pPr>
      <w:r>
        <w:rPr>
          <w:rFonts w:ascii="Times New Roman" w:cs="Times New Roman" w:eastAsia="Times New Roman" w:hAnsi="Times New Roman"/>
          <w:b w:val="false"/>
          <w:bCs w:val="false"/>
          <w:i w:val="false"/>
          <w:iCs w:val="false"/>
          <w:smallCaps w:val="false"/>
          <w:color w:val="111111"/>
          <w:sz w:val="22"/>
          <w:szCs w:val="22"/>
        </w:rPr>
        <w:t xml:space="preserve">Task marketplace. Creators post verifiable tasks (follow, create content, refer users, attend events) rewarded with locked creator tokens from a dedicated 2% community pool. Token holders complete tasks to earn locked token positions that vest post-DEX migration.</w:t>
      </w:r>
    </w:p>
    <w:p>
      <w:pPr>
        <w:pStyle w:val="ListParagraph"/>
        <w:numPr>
          <w:ilvl w:val="0"/>
          <w:numId w:val="3"/>
        </w:numPr>
        <w:spacing w:after="80" w:before="40"/>
      </w:pPr>
      <w:r>
        <w:rPr>
          <w:rFonts w:ascii="Times New Roman" w:cs="Times New Roman" w:eastAsia="Times New Roman" w:hAnsi="Times New Roman"/>
          <w:b w:val="false"/>
          <w:bCs w:val="false"/>
          <w:i w:val="false"/>
          <w:iCs w:val="false"/>
          <w:smallCaps w:val="false"/>
          <w:color w:val="111111"/>
          <w:sz w:val="22"/>
          <w:szCs w:val="22"/>
        </w:rPr>
        <w:t xml:space="preserve">Gated community infrastructure. Token holdings unlock tiered access to creator-defined community features including group chats, direct messaging, exclusive content, and event access.</w:t>
      </w:r>
    </w:p>
    <w:p>
      <w:pPr>
        <w:pStyle w:val="ListParagraph"/>
        <w:numPr>
          <w:ilvl w:val="0"/>
          <w:numId w:val="3"/>
        </w:numPr>
        <w:spacing w:after="80" w:before="40"/>
      </w:pPr>
      <w:r>
        <w:rPr>
          <w:rFonts w:ascii="Times New Roman" w:cs="Times New Roman" w:eastAsia="Times New Roman" w:hAnsi="Times New Roman"/>
          <w:b w:val="false"/>
          <w:bCs w:val="false"/>
          <w:i w:val="false"/>
          <w:iCs w:val="false"/>
          <w:smallCaps w:val="false"/>
          <w:color w:val="111111"/>
          <w:sz w:val="22"/>
          <w:szCs w:val="22"/>
        </w:rPr>
        <w:t xml:space="preserve">On-chain income sharing. All creator platform income distributes proportionally to token holders each week via automated smart contract snapshot, with no platform intermediation.</w:t>
      </w:r>
    </w:p>
    <w:p>
      <w:pPr>
        <w:pStyle w:val="ListParagraph"/>
        <w:numPr>
          <w:ilvl w:val="0"/>
          <w:numId w:val="3"/>
        </w:numPr>
        <w:spacing w:after="80" w:before="40"/>
      </w:pPr>
      <w:r>
        <w:rPr>
          <w:rFonts w:ascii="Times New Roman" w:cs="Times New Roman" w:eastAsia="Times New Roman" w:hAnsi="Times New Roman"/>
          <w:b w:val="false"/>
          <w:bCs w:val="false"/>
          <w:i w:val="false"/>
          <w:iCs w:val="false"/>
          <w:smallCaps w:val="false"/>
          <w:color w:val="111111"/>
          <w:sz w:val="22"/>
          <w:szCs w:val="22"/>
        </w:rPr>
        <w:t xml:space="preserve">Social Net Worth. Each user's portfolio of creator token holdings constitutes a public on-chain social identity displayed on their platform profile.</w:t>
      </w:r>
    </w:p>
    <w:p>
      <w:pPr>
        <w:pStyle w:val="ListParagraph"/>
        <w:numPr>
          <w:ilvl w:val="0"/>
          <w:numId w:val="3"/>
        </w:numPr>
        <w:spacing w:after="80" w:before="40"/>
      </w:pPr>
      <w:r>
        <w:rPr>
          <w:rFonts w:ascii="Times New Roman" w:cs="Times New Roman" w:eastAsia="Times New Roman" w:hAnsi="Times New Roman"/>
          <w:b w:val="false"/>
          <w:bCs w:val="false"/>
          <w:i w:val="false"/>
          <w:iCs w:val="false"/>
          <w:smallCaps w:val="false"/>
          <w:color w:val="111111"/>
          <w:sz w:val="22"/>
          <w:szCs w:val="22"/>
        </w:rPr>
        <w:t xml:space="preserve">Full transparency. On-chain vesting tracker with daily push notifications to all token holders when the creator claims their vesting release, establishing real-time creator accountability.</w:t>
      </w:r>
    </w:p>
    <w:p>
      <w:pPr>
        <w:pStyle w:val="Heading2"/>
        <w:spacing w:after="100" w:before="320"/>
      </w:pPr>
      <w:r>
        <w:rPr>
          <w:rFonts w:ascii="Times New Roman" w:cs="Times New Roman" w:eastAsia="Times New Roman" w:hAnsi="Times New Roman"/>
          <w:b/>
          <w:bCs/>
          <w:i w:val="false"/>
          <w:iCs w:val="false"/>
          <w:smallCaps w:val="false"/>
          <w:color w:val="111111"/>
          <w:sz w:val="24"/>
          <w:szCs w:val="24"/>
        </w:rPr>
        <w:t xml:space="preserve">2.3  Economic Philosophy</w:t>
      </w:r>
    </w:p>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The platform is built on the principle that economic alignment between creators and their communities requires two conditions: first, that token holders receive genuine financial rights proportional to their stake; and second, that creators face genuine long-term accountability through transparent on-chain vesting. People.market enforces both conditions at the smart contract level, where no platform policy change can override them.</w:t>
      </w:r>
    </w:p>
    <w:p>
      <w:r>
        <w:br w:type="page"/>
      </w:r>
    </w:p>
    <w:p>
      <w:pPr>
        <w:pStyle w:val="Heading1"/>
        <w:pBdr>
          <w:bottom w:val="single" w:color="1A1A1A" w:sz="6" w:space="6"/>
        </w:pBdr>
        <w:spacing w:after="160" w:before="480"/>
      </w:pPr>
      <w:r>
        <w:rPr>
          <w:rFonts w:ascii="Times New Roman" w:cs="Times New Roman" w:eastAsia="Times New Roman" w:hAnsi="Times New Roman"/>
          <w:b/>
          <w:bCs/>
          <w:i w:val="false"/>
          <w:iCs w:val="false"/>
          <w:smallCaps w:val="false"/>
          <w:color w:val="111111"/>
          <w:sz w:val="28"/>
          <w:szCs w:val="28"/>
        </w:rPr>
        <w:t xml:space="preserve">3.   </w:t>
      </w:r>
      <w:r>
        <w:rPr>
          <w:rFonts w:ascii="Times New Roman" w:cs="Times New Roman" w:eastAsia="Times New Roman" w:hAnsi="Times New Roman"/>
          <w:b/>
          <w:bCs/>
          <w:i w:val="false"/>
          <w:iCs w:val="false"/>
          <w:smallCaps/>
          <w:color w:val="111111"/>
          <w:sz w:val="28"/>
          <w:szCs w:val="28"/>
        </w:rPr>
        <w:t xml:space="preserve">COMPETITIVE ANALYSIS</w:t>
      </w:r>
    </w:p>
    <w:p>
      <w:pPr>
        <w:pStyle w:val="Heading2"/>
        <w:spacing w:after="100" w:before="320"/>
      </w:pPr>
      <w:r>
        <w:rPr>
          <w:rFonts w:ascii="Times New Roman" w:cs="Times New Roman" w:eastAsia="Times New Roman" w:hAnsi="Times New Roman"/>
          <w:b/>
          <w:bCs/>
          <w:i w:val="false"/>
          <w:iCs w:val="false"/>
          <w:smallCaps w:val="false"/>
          <w:color w:val="111111"/>
          <w:sz w:val="24"/>
          <w:szCs w:val="24"/>
        </w:rPr>
        <w:t xml:space="preserve">3.1  Platform Comparison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1440"/>
        <w:gridCol w:w="1300"/>
        <w:gridCol w:w="1300"/>
        <w:gridCol w:w="1360"/>
        <w:gridCol w:w="1760"/>
      </w:tblGrid>
      <w:tr>
        <w:trPr>
          <w:tblHeader/>
        </w:trPr>
        <w:tc>
          <w:tcPr>
            <w:tcW w:type="dxa" w:w="2200"/>
            <w:tcBorders>
              <w:top w:val="single" w:color="CCCCCC" w:sz="4"/>
              <w:left w:val="single" w:color="CCCCCC" w:sz="4"/>
              <w:bottom w:val="single" w:color="CCCCCC" w:sz="4"/>
              <w:right w:val="single" w:color="CCCCCC" w:sz="4"/>
            </w:tcBorders>
            <w:shd w:fill="1A1A1A" w:val="clear"/>
            <w:tcMar>
              <w:top w:type="dxa" w:w="80"/>
              <w:left w:type="dxa" w:w="120"/>
              <w:bottom w:type="dxa" w:w="80"/>
              <w:right w:type="dxa" w:w="120"/>
            </w:tcMar>
          </w:tcPr>
          <w:p>
            <w:pPr>
              <w:spacing w:after="0" w:before="0"/>
            </w:pPr>
            <w:r>
              <w:rPr>
                <w:rFonts w:ascii="Times New Roman" w:cs="Times New Roman" w:eastAsia="Times New Roman" w:hAnsi="Times New Roman"/>
                <w:b/>
                <w:bCs/>
                <w:i w:val="false"/>
                <w:iCs w:val="false"/>
                <w:smallCaps w:val="false"/>
                <w:color w:val="FFFFFF"/>
                <w:sz w:val="19"/>
                <w:szCs w:val="19"/>
              </w:rPr>
              <w:t xml:space="preserve">Feature</w:t>
            </w:r>
          </w:p>
        </w:tc>
        <w:tc>
          <w:tcPr>
            <w:tcW w:type="dxa" w:w="1440"/>
            <w:tcBorders>
              <w:top w:val="single" w:color="CCCCCC" w:sz="4"/>
              <w:left w:val="single" w:color="CCCCCC" w:sz="4"/>
              <w:bottom w:val="single" w:color="CCCCCC" w:sz="4"/>
              <w:right w:val="single" w:color="CCCCCC" w:sz="4"/>
            </w:tcBorders>
            <w:shd w:fill="1A1A1A" w:val="clear"/>
            <w:tcMar>
              <w:top w:type="dxa" w:w="80"/>
              <w:left w:type="dxa" w:w="120"/>
              <w:bottom w:type="dxa" w:w="80"/>
              <w:right w:type="dxa" w:w="120"/>
            </w:tcMar>
          </w:tcPr>
          <w:p>
            <w:pPr>
              <w:spacing w:after="0" w:before="0"/>
            </w:pPr>
            <w:r>
              <w:rPr>
                <w:rFonts w:ascii="Times New Roman" w:cs="Times New Roman" w:eastAsia="Times New Roman" w:hAnsi="Times New Roman"/>
                <w:b/>
                <w:bCs/>
                <w:i w:val="false"/>
                <w:iCs w:val="false"/>
                <w:smallCaps w:val="false"/>
                <w:color w:val="FFFFFF"/>
                <w:sz w:val="19"/>
                <w:szCs w:val="19"/>
              </w:rPr>
              <w:t xml:space="preserve">friend.tech</w:t>
            </w:r>
          </w:p>
        </w:tc>
        <w:tc>
          <w:tcPr>
            <w:tcW w:type="dxa" w:w="1300"/>
            <w:tcBorders>
              <w:top w:val="single" w:color="CCCCCC" w:sz="4"/>
              <w:left w:val="single" w:color="CCCCCC" w:sz="4"/>
              <w:bottom w:val="single" w:color="CCCCCC" w:sz="4"/>
              <w:right w:val="single" w:color="CCCCCC" w:sz="4"/>
            </w:tcBorders>
            <w:shd w:fill="1A1A1A" w:val="clear"/>
            <w:tcMar>
              <w:top w:type="dxa" w:w="80"/>
              <w:left w:type="dxa" w:w="120"/>
              <w:bottom w:type="dxa" w:w="80"/>
              <w:right w:type="dxa" w:w="120"/>
            </w:tcMar>
          </w:tcPr>
          <w:p>
            <w:pPr>
              <w:spacing w:after="0" w:before="0"/>
            </w:pPr>
            <w:r>
              <w:rPr>
                <w:rFonts w:ascii="Times New Roman" w:cs="Times New Roman" w:eastAsia="Times New Roman" w:hAnsi="Times New Roman"/>
                <w:b/>
                <w:bCs/>
                <w:i w:val="false"/>
                <w:iCs w:val="false"/>
                <w:smallCaps w:val="false"/>
                <w:color w:val="FFFFFF"/>
                <w:sz w:val="19"/>
                <w:szCs w:val="19"/>
              </w:rPr>
              <w:t xml:space="preserve">pump.fun</w:t>
            </w:r>
          </w:p>
        </w:tc>
        <w:tc>
          <w:tcPr>
            <w:tcW w:type="dxa" w:w="1300"/>
            <w:tcBorders>
              <w:top w:val="single" w:color="CCCCCC" w:sz="4"/>
              <w:left w:val="single" w:color="CCCCCC" w:sz="4"/>
              <w:bottom w:val="single" w:color="CCCCCC" w:sz="4"/>
              <w:right w:val="single" w:color="CCCCCC" w:sz="4"/>
            </w:tcBorders>
            <w:shd w:fill="1A1A1A" w:val="clear"/>
            <w:tcMar>
              <w:top w:type="dxa" w:w="80"/>
              <w:left w:type="dxa" w:w="120"/>
              <w:bottom w:type="dxa" w:w="80"/>
              <w:right w:type="dxa" w:w="120"/>
            </w:tcMar>
          </w:tcPr>
          <w:p>
            <w:pPr>
              <w:spacing w:after="0" w:before="0"/>
            </w:pPr>
            <w:r>
              <w:rPr>
                <w:rFonts w:ascii="Times New Roman" w:cs="Times New Roman" w:eastAsia="Times New Roman" w:hAnsi="Times New Roman"/>
                <w:b/>
                <w:bCs/>
                <w:i w:val="false"/>
                <w:iCs w:val="false"/>
                <w:smallCaps w:val="false"/>
                <w:color w:val="FFFFFF"/>
                <w:sz w:val="19"/>
                <w:szCs w:val="19"/>
              </w:rPr>
              <w:t xml:space="preserve">Tribe.run</w:t>
            </w:r>
          </w:p>
        </w:tc>
        <w:tc>
          <w:tcPr>
            <w:tcW w:type="dxa" w:w="1360"/>
            <w:tcBorders>
              <w:top w:val="single" w:color="CCCCCC" w:sz="4"/>
              <w:left w:val="single" w:color="CCCCCC" w:sz="4"/>
              <w:bottom w:val="single" w:color="CCCCCC" w:sz="4"/>
              <w:right w:val="single" w:color="CCCCCC" w:sz="4"/>
            </w:tcBorders>
            <w:shd w:fill="1A1A1A" w:val="clear"/>
            <w:tcMar>
              <w:top w:type="dxa" w:w="80"/>
              <w:left w:type="dxa" w:w="120"/>
              <w:bottom w:type="dxa" w:w="80"/>
              <w:right w:type="dxa" w:w="120"/>
            </w:tcMar>
          </w:tcPr>
          <w:p>
            <w:pPr>
              <w:spacing w:after="0" w:before="0"/>
            </w:pPr>
            <w:r>
              <w:rPr>
                <w:rFonts w:ascii="Times New Roman" w:cs="Times New Roman" w:eastAsia="Times New Roman" w:hAnsi="Times New Roman"/>
                <w:b/>
                <w:bCs/>
                <w:i w:val="false"/>
                <w:iCs w:val="false"/>
                <w:smallCaps w:val="false"/>
                <w:color w:val="FFFFFF"/>
                <w:sz w:val="19"/>
                <w:szCs w:val="19"/>
              </w:rPr>
              <w:t xml:space="preserve">Arena V2</w:t>
            </w:r>
          </w:p>
        </w:tc>
        <w:tc>
          <w:tcPr>
            <w:tcW w:type="dxa" w:w="1760"/>
            <w:tcBorders>
              <w:top w:val="single" w:color="CCCCCC" w:sz="4"/>
              <w:left w:val="single" w:color="CCCCCC" w:sz="4"/>
              <w:bottom w:val="single" w:color="CCCCCC" w:sz="4"/>
              <w:right w:val="single" w:color="CCCCCC" w:sz="4"/>
            </w:tcBorders>
            <w:shd w:fill="1A1A1A" w:val="clear"/>
            <w:tcMar>
              <w:top w:type="dxa" w:w="80"/>
              <w:left w:type="dxa" w:w="120"/>
              <w:bottom w:type="dxa" w:w="80"/>
              <w:right w:type="dxa" w:w="120"/>
            </w:tcMar>
          </w:tcPr>
          <w:p>
            <w:pPr>
              <w:spacing w:after="0" w:before="0"/>
            </w:pPr>
            <w:r>
              <w:rPr>
                <w:rFonts w:ascii="Times New Roman" w:cs="Times New Roman" w:eastAsia="Times New Roman" w:hAnsi="Times New Roman"/>
                <w:b/>
                <w:bCs/>
                <w:i w:val="false"/>
                <w:iCs w:val="false"/>
                <w:smallCaps w:val="false"/>
                <w:color w:val="FFFFFF"/>
                <w:sz w:val="19"/>
                <w:szCs w:val="19"/>
              </w:rPr>
              <w:t xml:space="preserve">People.market</w:t>
            </w:r>
          </w:p>
        </w:tc>
      </w:tr>
      <w:tr>
        <w:tc>
          <w:tcPr>
            <w:tcW w:type="dxa" w:w="22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Pricing mechanism</w:t>
            </w:r>
          </w:p>
        </w:tc>
        <w:tc>
          <w:tcPr>
            <w:tcW w:type="dxa" w:w="144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Quadratic n²/16000</w:t>
            </w:r>
          </w:p>
        </w:tc>
        <w:tc>
          <w:tcPr>
            <w:tcW w:type="dxa" w:w="13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Virtual AMM</w:t>
            </w:r>
          </w:p>
        </w:tc>
        <w:tc>
          <w:tcPr>
            <w:tcW w:type="dxa" w:w="13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Keys model</w:t>
            </w:r>
          </w:p>
        </w:tc>
        <w:tc>
          <w:tcPr>
            <w:tcW w:type="dxa" w:w="136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Bonding curve</w:t>
            </w:r>
          </w:p>
        </w:tc>
        <w:tc>
          <w:tcPr>
            <w:tcW w:type="dxa" w:w="176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Exponential P₀×5^(S/20M)</w:t>
            </w:r>
          </w:p>
        </w:tc>
      </w:tr>
      <w:tr>
        <w:tc>
          <w:tcPr>
            <w:tcW w:type="dxa" w:w="22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Starting price</w:t>
            </w:r>
          </w:p>
        </w:tc>
        <w:tc>
          <w:tcPr>
            <w:tcW w:type="dxa" w:w="144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Formula-based</w:t>
            </w:r>
          </w:p>
        </w:tc>
        <w:tc>
          <w:tcPr>
            <w:tcW w:type="dxa" w:w="13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$0.01</w:t>
            </w:r>
          </w:p>
        </w:tc>
        <w:tc>
          <w:tcPr>
            <w:tcW w:type="dxa" w:w="13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Formula-based</w:t>
            </w:r>
          </w:p>
        </w:tc>
        <w:tc>
          <w:tcPr>
            <w:tcW w:type="dxa" w:w="136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Variable</w:t>
            </w:r>
          </w:p>
        </w:tc>
        <w:tc>
          <w:tcPr>
            <w:tcW w:type="dxa" w:w="176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$0.003 universal</w:t>
            </w:r>
          </w:p>
        </w:tc>
      </w:tr>
      <w:tr>
        <w:tc>
          <w:tcPr>
            <w:tcW w:type="dxa" w:w="22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Creator vesting</w:t>
            </w:r>
          </w:p>
        </w:tc>
        <w:tc>
          <w:tcPr>
            <w:tcW w:type="dxa" w:w="144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None</w:t>
            </w:r>
          </w:p>
        </w:tc>
        <w:tc>
          <w:tcPr>
            <w:tcW w:type="dxa" w:w="13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None</w:t>
            </w:r>
          </w:p>
        </w:tc>
        <w:tc>
          <w:tcPr>
            <w:tcW w:type="dxa" w:w="13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None</w:t>
            </w:r>
          </w:p>
        </w:tc>
        <w:tc>
          <w:tcPr>
            <w:tcW w:type="dxa" w:w="136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None</w:t>
            </w:r>
          </w:p>
        </w:tc>
        <w:tc>
          <w:tcPr>
            <w:tcW w:type="dxa" w:w="176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4,485 tokens/day, ∼41 years</w:t>
            </w:r>
          </w:p>
        </w:tc>
      </w:tr>
      <w:tr>
        <w:tc>
          <w:tcPr>
            <w:tcW w:type="dxa" w:w="22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Task economy</w:t>
            </w:r>
          </w:p>
        </w:tc>
        <w:tc>
          <w:tcPr>
            <w:tcW w:type="dxa" w:w="144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No</w:t>
            </w:r>
          </w:p>
        </w:tc>
        <w:tc>
          <w:tcPr>
            <w:tcW w:type="dxa" w:w="13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No</w:t>
            </w:r>
          </w:p>
        </w:tc>
        <w:tc>
          <w:tcPr>
            <w:tcW w:type="dxa" w:w="13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No</w:t>
            </w:r>
          </w:p>
        </w:tc>
        <w:tc>
          <w:tcPr>
            <w:tcW w:type="dxa" w:w="136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No</w:t>
            </w:r>
          </w:p>
        </w:tc>
        <w:tc>
          <w:tcPr>
            <w:tcW w:type="dxa" w:w="176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Six-category marketplace</w:t>
            </w:r>
          </w:p>
        </w:tc>
      </w:tr>
      <w:tr>
        <w:tc>
          <w:tcPr>
            <w:tcW w:type="dxa" w:w="22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Creator identity</w:t>
            </w:r>
          </w:p>
        </w:tc>
        <w:tc>
          <w:tcPr>
            <w:tcW w:type="dxa" w:w="144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Anonymous</w:t>
            </w:r>
          </w:p>
        </w:tc>
        <w:tc>
          <w:tcPr>
            <w:tcW w:type="dxa" w:w="13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Anonymous</w:t>
            </w:r>
          </w:p>
        </w:tc>
        <w:tc>
          <w:tcPr>
            <w:tcW w:type="dxa" w:w="13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Anonymous</w:t>
            </w:r>
          </w:p>
        </w:tc>
        <w:tc>
          <w:tcPr>
            <w:tcW w:type="dxa" w:w="136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Partial</w:t>
            </w:r>
          </w:p>
        </w:tc>
        <w:tc>
          <w:tcPr>
            <w:tcW w:type="dxa" w:w="176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Social OAuth verification</w:t>
            </w:r>
          </w:p>
        </w:tc>
      </w:tr>
      <w:tr>
        <w:tc>
          <w:tcPr>
            <w:tcW w:type="dxa" w:w="22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DEX graduation</w:t>
            </w:r>
          </w:p>
        </w:tc>
        <w:tc>
          <w:tcPr>
            <w:tcW w:type="dxa" w:w="144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No</w:t>
            </w:r>
          </w:p>
        </w:tc>
        <w:tc>
          <w:tcPr>
            <w:tcW w:type="dxa" w:w="13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PumpSwap</w:t>
            </w:r>
          </w:p>
        </w:tc>
        <w:tc>
          <w:tcPr>
            <w:tcW w:type="dxa" w:w="13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No</w:t>
            </w:r>
          </w:p>
        </w:tc>
        <w:tc>
          <w:tcPr>
            <w:tcW w:type="dxa" w:w="136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Native DEX</w:t>
            </w:r>
          </w:p>
        </w:tc>
        <w:tc>
          <w:tcPr>
            <w:tcW w:type="dxa" w:w="176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Raydium CPMM + LP burn</w:t>
            </w:r>
          </w:p>
        </w:tc>
      </w:tr>
      <w:tr>
        <w:tc>
          <w:tcPr>
            <w:tcW w:type="dxa" w:w="22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Income sharing</w:t>
            </w:r>
          </w:p>
        </w:tc>
        <w:tc>
          <w:tcPr>
            <w:tcW w:type="dxa" w:w="144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No</w:t>
            </w:r>
          </w:p>
        </w:tc>
        <w:tc>
          <w:tcPr>
            <w:tcW w:type="dxa" w:w="13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No</w:t>
            </w:r>
          </w:p>
        </w:tc>
        <w:tc>
          <w:tcPr>
            <w:tcW w:type="dxa" w:w="13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No</w:t>
            </w:r>
          </w:p>
        </w:tc>
        <w:tc>
          <w:tcPr>
            <w:tcW w:type="dxa" w:w="136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No</w:t>
            </w:r>
          </w:p>
        </w:tc>
        <w:tc>
          <w:tcPr>
            <w:tcW w:type="dxa" w:w="176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Weekly on-chain pro-rata</w:t>
            </w:r>
          </w:p>
        </w:tc>
      </w:tr>
      <w:tr>
        <w:tc>
          <w:tcPr>
            <w:tcW w:type="dxa" w:w="22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Anti-dump protection</w:t>
            </w:r>
          </w:p>
        </w:tc>
        <w:tc>
          <w:tcPr>
            <w:tcW w:type="dxa" w:w="144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None</w:t>
            </w:r>
          </w:p>
        </w:tc>
        <w:tc>
          <w:tcPr>
            <w:tcW w:type="dxa" w:w="13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None</w:t>
            </w:r>
          </w:p>
        </w:tc>
        <w:tc>
          <w:tcPr>
            <w:tcW w:type="dxa" w:w="13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None</w:t>
            </w:r>
          </w:p>
        </w:tc>
        <w:tc>
          <w:tcPr>
            <w:tcW w:type="dxa" w:w="136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None</w:t>
            </w:r>
          </w:p>
        </w:tc>
        <w:tc>
          <w:tcPr>
            <w:tcW w:type="dxa" w:w="176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Vesting + stability reserve</w:t>
            </w:r>
          </w:p>
        </w:tc>
      </w:tr>
      <w:tr>
        <w:tc>
          <w:tcPr>
            <w:tcW w:type="dxa" w:w="22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Total trading fee (curve)</w:t>
            </w:r>
          </w:p>
        </w:tc>
        <w:tc>
          <w:tcPr>
            <w:tcW w:type="dxa" w:w="144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10%</w:t>
            </w:r>
          </w:p>
        </w:tc>
        <w:tc>
          <w:tcPr>
            <w:tcW w:type="dxa" w:w="13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1.25%</w:t>
            </w:r>
          </w:p>
        </w:tc>
        <w:tc>
          <w:tcPr>
            <w:tcW w:type="dxa" w:w="13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4%</w:t>
            </w:r>
          </w:p>
        </w:tc>
        <w:tc>
          <w:tcPr>
            <w:tcW w:type="dxa" w:w="136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∼2%</w:t>
            </w:r>
          </w:p>
        </w:tc>
        <w:tc>
          <w:tcPr>
            <w:tcW w:type="dxa" w:w="176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1.00–1.25%</w:t>
            </w:r>
          </w:p>
        </w:tc>
      </w:tr>
      <w:tr>
        <w:tc>
          <w:tcPr>
            <w:tcW w:type="dxa" w:w="22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Total trading fee (DEX)</w:t>
            </w:r>
          </w:p>
        </w:tc>
        <w:tc>
          <w:tcPr>
            <w:tcW w:type="dxa" w:w="144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N/A</w:t>
            </w:r>
          </w:p>
        </w:tc>
        <w:tc>
          <w:tcPr>
            <w:tcW w:type="dxa" w:w="13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1.25%</w:t>
            </w:r>
          </w:p>
        </w:tc>
        <w:tc>
          <w:tcPr>
            <w:tcW w:type="dxa" w:w="13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N/A</w:t>
            </w:r>
          </w:p>
        </w:tc>
        <w:tc>
          <w:tcPr>
            <w:tcW w:type="dxa" w:w="136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∼2%</w:t>
            </w:r>
          </w:p>
        </w:tc>
        <w:tc>
          <w:tcPr>
            <w:tcW w:type="dxa" w:w="176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0.75%</w:t>
            </w:r>
          </w:p>
        </w:tc>
      </w:tr>
    </w:tbl>
    <w:p>
      <w:pPr>
        <w:spacing w:after="200" w:before="40" w:line="276"/>
        <w:jc w:val="center"/>
      </w:pPr>
      <w:r>
        <w:rPr>
          <w:rFonts w:ascii="Times New Roman" w:cs="Times New Roman" w:eastAsia="Times New Roman" w:hAnsi="Times New Roman"/>
          <w:b w:val="false"/>
          <w:bCs w:val="false"/>
          <w:i/>
          <w:iCs/>
          <w:smallCaps w:val="false"/>
          <w:color w:val="666666"/>
          <w:sz w:val="18"/>
          <w:szCs w:val="18"/>
        </w:rPr>
        <w:t xml:space="preserve">Table 1. Feature comparison across leading SocialFi platforms.</w:t>
      </w:r>
    </w:p>
    <w:p>
      <w:pPr>
        <w:pStyle w:val="Heading2"/>
        <w:spacing w:after="100" w:before="320"/>
      </w:pPr>
      <w:r>
        <w:rPr>
          <w:rFonts w:ascii="Times New Roman" w:cs="Times New Roman" w:eastAsia="Times New Roman" w:hAnsi="Times New Roman"/>
          <w:b/>
          <w:bCs/>
          <w:i w:val="false"/>
          <w:iCs w:val="false"/>
          <w:smallCaps w:val="false"/>
          <w:color w:val="111111"/>
          <w:sz w:val="24"/>
          <w:szCs w:val="24"/>
        </w:rPr>
        <w:t xml:space="preserve">3.2  Differentiation Analysis</w:t>
      </w:r>
    </w:p>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People.market's competitive differentiation is structural rather than cosmetic. Every prior platform was built on the same flawed premise: value derives from trading activity alone. The distinguishing innovations introduced by People.market are: (1) genuine financial rights through proportional income sharing, which provides a fundamental valuation basis for creator tokens beyond pure speculation; (2) a native task economy creating real utility and engagement incentives; and (3) transparent long-term vesting that aligns creator incentives with holder interests for decades, not weeks.</w:t>
      </w:r>
    </w:p>
    <w:p>
      <w:r>
        <w:br w:type="page"/>
      </w:r>
    </w:p>
    <w:p>
      <w:pPr>
        <w:pStyle w:val="Heading1"/>
        <w:pBdr>
          <w:bottom w:val="single" w:color="1A1A1A" w:sz="6" w:space="6"/>
        </w:pBdr>
        <w:spacing w:after="160" w:before="480"/>
      </w:pPr>
      <w:r>
        <w:rPr>
          <w:rFonts w:ascii="Times New Roman" w:cs="Times New Roman" w:eastAsia="Times New Roman" w:hAnsi="Times New Roman"/>
          <w:b/>
          <w:bCs/>
          <w:i w:val="false"/>
          <w:iCs w:val="false"/>
          <w:smallCaps w:val="false"/>
          <w:color w:val="111111"/>
          <w:sz w:val="28"/>
          <w:szCs w:val="28"/>
        </w:rPr>
        <w:t xml:space="preserve">4.   </w:t>
      </w:r>
      <w:r>
        <w:rPr>
          <w:rFonts w:ascii="Times New Roman" w:cs="Times New Roman" w:eastAsia="Times New Roman" w:hAnsi="Times New Roman"/>
          <w:b/>
          <w:bCs/>
          <w:i w:val="false"/>
          <w:iCs w:val="false"/>
          <w:smallCaps/>
          <w:color w:val="111111"/>
          <w:sz w:val="28"/>
          <w:szCs w:val="28"/>
        </w:rPr>
        <w:t xml:space="preserve">SYSTEM ARCHITECTURE</w:t>
      </w:r>
    </w:p>
    <w:p>
      <w:pPr>
        <w:pStyle w:val="Heading2"/>
        <w:spacing w:after="100" w:before="320"/>
      </w:pPr>
      <w:r>
        <w:rPr>
          <w:rFonts w:ascii="Times New Roman" w:cs="Times New Roman" w:eastAsia="Times New Roman" w:hAnsi="Times New Roman"/>
          <w:b/>
          <w:bCs/>
          <w:i w:val="false"/>
          <w:iCs w:val="false"/>
          <w:smallCaps w:val="false"/>
          <w:color w:val="111111"/>
          <w:sz w:val="24"/>
          <w:szCs w:val="24"/>
        </w:rPr>
        <w:t xml:space="preserve">4.1  Blockchain Selection</w:t>
      </w:r>
    </w:p>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People.market is deployed on the Solana blockchain. The selection is motivated by four technical requirements: (1) transaction fees of less than $0.001, enabling gas-free user experiences for task earners; (2) throughput exceeding 50,000 transactions per second, supporting real-time bonding curve price updates under concurrent user load; (3) Raydium CPMM availability as a mature, audited DEX infrastructure for graduated token trading; and (4) Pyth Network integration for real-time SOL/USD oracle feeds required for the bonding curve price reference system.</w:t>
      </w:r>
    </w:p>
    <w:p>
      <w:pPr>
        <w:pStyle w:val="Heading2"/>
        <w:spacing w:after="100" w:before="320"/>
      </w:pPr>
      <w:r>
        <w:rPr>
          <w:rFonts w:ascii="Times New Roman" w:cs="Times New Roman" w:eastAsia="Times New Roman" w:hAnsi="Times New Roman"/>
          <w:b/>
          <w:bCs/>
          <w:i w:val="false"/>
          <w:iCs w:val="false"/>
          <w:smallCaps w:val="false"/>
          <w:color w:val="111111"/>
          <w:sz w:val="24"/>
          <w:szCs w:val="24"/>
        </w:rPr>
        <w:t xml:space="preserve">4.2  Three-Layer Architecture</w:t>
      </w:r>
    </w:p>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The platform architecture comprises three discrete layers with well-defined interfaces:</w:t>
      </w:r>
    </w:p>
    <w:p>
      <w:pPr>
        <w:pStyle w:val="ListParagraph"/>
        <w:numPr>
          <w:ilvl w:val="0"/>
          <w:numId w:val="2"/>
        </w:numPr>
        <w:spacing w:after="80" w:before="40"/>
      </w:pPr>
      <w:r>
        <w:rPr>
          <w:rFonts w:ascii="Times New Roman" w:cs="Times New Roman" w:eastAsia="Times New Roman" w:hAnsi="Times New Roman"/>
          <w:b w:val="false"/>
          <w:bCs w:val="false"/>
          <w:i w:val="false"/>
          <w:iCs w:val="false"/>
          <w:smallCaps w:val="false"/>
          <w:color w:val="111111"/>
          <w:sz w:val="22"/>
          <w:szCs w:val="22"/>
        </w:rPr>
        <w:t xml:space="preserve">On-chain layer. Seven Solana programs (smart contracts) written in Rust using the Anchor framework enforce all critical protocol logic. These programs are immutable after deployment. No platform policy decision can override program logic once deployed.</w:t>
      </w:r>
    </w:p>
    <w:p>
      <w:pPr>
        <w:pStyle w:val="ListParagraph"/>
        <w:numPr>
          <w:ilvl w:val="0"/>
          <w:numId w:val="2"/>
        </w:numPr>
        <w:spacing w:after="80" w:before="40"/>
      </w:pPr>
      <w:r>
        <w:rPr>
          <w:rFonts w:ascii="Times New Roman" w:cs="Times New Roman" w:eastAsia="Times New Roman" w:hAnsi="Times New Roman"/>
          <w:b w:val="false"/>
          <w:bCs w:val="false"/>
          <w:i w:val="false"/>
          <w:iCs w:val="false"/>
          <w:smallCaps w:val="false"/>
          <w:color w:val="111111"/>
          <w:sz w:val="22"/>
          <w:szCs w:val="22"/>
        </w:rPr>
        <w:t xml:space="preserve">Backend layer. Platform-operated infrastructure handles social API integrations (Twitter/X, YouTube, Instagram, TikTok), task verification, push notification delivery, and UI event indexing. The backend has read-only access to user funds — it cannot initiate any token or SOL transfer independently.</w:t>
      </w:r>
    </w:p>
    <w:p>
      <w:pPr>
        <w:pStyle w:val="ListParagraph"/>
        <w:numPr>
          <w:ilvl w:val="0"/>
          <w:numId w:val="2"/>
        </w:numPr>
        <w:spacing w:after="80" w:before="40"/>
      </w:pPr>
      <w:r>
        <w:rPr>
          <w:rFonts w:ascii="Times New Roman" w:cs="Times New Roman" w:eastAsia="Times New Roman" w:hAnsi="Times New Roman"/>
          <w:b w:val="false"/>
          <w:bCs w:val="false"/>
          <w:i w:val="false"/>
          <w:iCs w:val="false"/>
          <w:smallCaps w:val="false"/>
          <w:color w:val="111111"/>
          <w:sz w:val="22"/>
          <w:szCs w:val="22"/>
        </w:rPr>
        <w:t xml:space="preserve">Frontend layer. Mobile applications (iOS and Android) and a web interface connect users to the Solana network via standard wallet adapters (Phantom, Solflare, Backpack, Venly). All financial transactions are signed from user wallets directly. The frontend cannot move funds without explicit user wallet authorization.</w:t>
      </w:r>
    </w:p>
    <w:p>
      <w:pPr>
        <w:pStyle w:val="Heading2"/>
        <w:spacing w:after="100" w:before="320"/>
      </w:pPr>
      <w:r>
        <w:rPr>
          <w:rFonts w:ascii="Times New Roman" w:cs="Times New Roman" w:eastAsia="Times New Roman" w:hAnsi="Times New Roman"/>
          <w:b/>
          <w:bCs/>
          <w:i w:val="false"/>
          <w:iCs w:val="false"/>
          <w:smallCaps w:val="false"/>
          <w:color w:val="111111"/>
          <w:sz w:val="24"/>
          <w:szCs w:val="24"/>
        </w:rPr>
        <w:t xml:space="preserve">4.3  Identity Model</w:t>
      </w:r>
    </w:p>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Creator identity is verified through social OAuth — connecting a Twitter/X, YouTube, or Instagram account via the official OAuth 2.0 protocol. This establishes a verifiable link between the creator's token and their public social presence, enabling reputation-based accountability without requiring government identity documents. Buyers and task earners require only a Solana wallet, preserving the pseudonymity standard expected by crypto-native participants.</w:t>
      </w:r>
    </w:p>
    <w:p>
      <w:r>
        <w:br w:type="page"/>
      </w:r>
    </w:p>
    <w:p>
      <w:pPr>
        <w:pStyle w:val="Heading1"/>
        <w:pBdr>
          <w:bottom w:val="single" w:color="1A1A1A" w:sz="6" w:space="6"/>
        </w:pBdr>
        <w:spacing w:after="160" w:before="480"/>
      </w:pPr>
      <w:r>
        <w:rPr>
          <w:rFonts w:ascii="Times New Roman" w:cs="Times New Roman" w:eastAsia="Times New Roman" w:hAnsi="Times New Roman"/>
          <w:b/>
          <w:bCs/>
          <w:i w:val="false"/>
          <w:iCs w:val="false"/>
          <w:smallCaps w:val="false"/>
          <w:color w:val="111111"/>
          <w:sz w:val="28"/>
          <w:szCs w:val="28"/>
        </w:rPr>
        <w:t xml:space="preserve">5.   </w:t>
      </w:r>
      <w:r>
        <w:rPr>
          <w:rFonts w:ascii="Times New Roman" w:cs="Times New Roman" w:eastAsia="Times New Roman" w:hAnsi="Times New Roman"/>
          <w:b/>
          <w:bCs/>
          <w:i w:val="false"/>
          <w:iCs w:val="false"/>
          <w:smallCaps/>
          <w:color w:val="111111"/>
          <w:sz w:val="28"/>
          <w:szCs w:val="28"/>
        </w:rPr>
        <w:t xml:space="preserve">TOKEN SYSTEMS</w:t>
      </w:r>
    </w:p>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People.market operates three independent token systems. These systems share no supply, no governance mechanism, and no economic coupling. Each must be understood independently.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1800"/>
        <w:gridCol w:w="3560"/>
        <w:gridCol w:w="1800"/>
      </w:tblGrid>
      <w:tr>
        <w:trPr>
          <w:tblHeader/>
        </w:trPr>
        <w:tc>
          <w:tcPr>
            <w:tcW w:type="dxa" w:w="2200"/>
            <w:tcBorders>
              <w:top w:val="single" w:color="CCCCCC" w:sz="4"/>
              <w:left w:val="single" w:color="CCCCCC" w:sz="4"/>
              <w:bottom w:val="single" w:color="CCCCCC" w:sz="4"/>
              <w:right w:val="single" w:color="CCCCCC" w:sz="4"/>
            </w:tcBorders>
            <w:shd w:fill="1A1A1A" w:val="clear"/>
            <w:tcMar>
              <w:top w:type="dxa" w:w="80"/>
              <w:left w:type="dxa" w:w="120"/>
              <w:bottom w:type="dxa" w:w="80"/>
              <w:right w:type="dxa" w:w="120"/>
            </w:tcMar>
          </w:tcPr>
          <w:p>
            <w:pPr>
              <w:spacing w:after="0" w:before="0"/>
            </w:pPr>
            <w:r>
              <w:rPr>
                <w:rFonts w:ascii="Times New Roman" w:cs="Times New Roman" w:eastAsia="Times New Roman" w:hAnsi="Times New Roman"/>
                <w:b/>
                <w:bCs/>
                <w:i w:val="false"/>
                <w:iCs w:val="false"/>
                <w:smallCaps w:val="false"/>
                <w:color w:val="FFFFFF"/>
                <w:sz w:val="19"/>
                <w:szCs w:val="19"/>
              </w:rPr>
              <w:t xml:space="preserve">System</w:t>
            </w:r>
          </w:p>
        </w:tc>
        <w:tc>
          <w:tcPr>
            <w:tcW w:type="dxa" w:w="1800"/>
            <w:tcBorders>
              <w:top w:val="single" w:color="CCCCCC" w:sz="4"/>
              <w:left w:val="single" w:color="CCCCCC" w:sz="4"/>
              <w:bottom w:val="single" w:color="CCCCCC" w:sz="4"/>
              <w:right w:val="single" w:color="CCCCCC" w:sz="4"/>
            </w:tcBorders>
            <w:shd w:fill="1A1A1A" w:val="clear"/>
            <w:tcMar>
              <w:top w:type="dxa" w:w="80"/>
              <w:left w:type="dxa" w:w="120"/>
              <w:bottom w:type="dxa" w:w="80"/>
              <w:right w:type="dxa" w:w="120"/>
            </w:tcMar>
          </w:tcPr>
          <w:p>
            <w:pPr>
              <w:spacing w:after="0" w:before="0"/>
            </w:pPr>
            <w:r>
              <w:rPr>
                <w:rFonts w:ascii="Times New Roman" w:cs="Times New Roman" w:eastAsia="Times New Roman" w:hAnsi="Times New Roman"/>
                <w:b/>
                <w:bCs/>
                <w:i w:val="false"/>
                <w:iCs w:val="false"/>
                <w:smallCaps w:val="false"/>
                <w:color w:val="FFFFFF"/>
                <w:sz w:val="19"/>
                <w:szCs w:val="19"/>
              </w:rPr>
              <w:t xml:space="preserve">Type</w:t>
            </w:r>
          </w:p>
        </w:tc>
        <w:tc>
          <w:tcPr>
            <w:tcW w:type="dxa" w:w="3560"/>
            <w:tcBorders>
              <w:top w:val="single" w:color="CCCCCC" w:sz="4"/>
              <w:left w:val="single" w:color="CCCCCC" w:sz="4"/>
              <w:bottom w:val="single" w:color="CCCCCC" w:sz="4"/>
              <w:right w:val="single" w:color="CCCCCC" w:sz="4"/>
            </w:tcBorders>
            <w:shd w:fill="1A1A1A" w:val="clear"/>
            <w:tcMar>
              <w:top w:type="dxa" w:w="80"/>
              <w:left w:type="dxa" w:w="120"/>
              <w:bottom w:type="dxa" w:w="80"/>
              <w:right w:type="dxa" w:w="120"/>
            </w:tcMar>
          </w:tcPr>
          <w:p>
            <w:pPr>
              <w:spacing w:after="0" w:before="0"/>
            </w:pPr>
            <w:r>
              <w:rPr>
                <w:rFonts w:ascii="Times New Roman" w:cs="Times New Roman" w:eastAsia="Times New Roman" w:hAnsi="Times New Roman"/>
                <w:b/>
                <w:bCs/>
                <w:i w:val="false"/>
                <w:iCs w:val="false"/>
                <w:smallCaps w:val="false"/>
                <w:color w:val="FFFFFF"/>
                <w:sz w:val="19"/>
                <w:szCs w:val="19"/>
              </w:rPr>
              <w:t xml:space="preserve">Function</w:t>
            </w:r>
          </w:p>
        </w:tc>
        <w:tc>
          <w:tcPr>
            <w:tcW w:type="dxa" w:w="1800"/>
            <w:tcBorders>
              <w:top w:val="single" w:color="CCCCCC" w:sz="4"/>
              <w:left w:val="single" w:color="CCCCCC" w:sz="4"/>
              <w:bottom w:val="single" w:color="CCCCCC" w:sz="4"/>
              <w:right w:val="single" w:color="CCCCCC" w:sz="4"/>
            </w:tcBorders>
            <w:shd w:fill="1A1A1A" w:val="clear"/>
            <w:tcMar>
              <w:top w:type="dxa" w:w="80"/>
              <w:left w:type="dxa" w:w="120"/>
              <w:bottom w:type="dxa" w:w="80"/>
              <w:right w:type="dxa" w:w="120"/>
            </w:tcMar>
          </w:tcPr>
          <w:p>
            <w:pPr>
              <w:spacing w:after="0" w:before="0"/>
            </w:pPr>
            <w:r>
              <w:rPr>
                <w:rFonts w:ascii="Times New Roman" w:cs="Times New Roman" w:eastAsia="Times New Roman" w:hAnsi="Times New Roman"/>
                <w:b/>
                <w:bCs/>
                <w:i w:val="false"/>
                <w:iCs w:val="false"/>
                <w:smallCaps w:val="false"/>
                <w:color w:val="FFFFFF"/>
                <w:sz w:val="19"/>
                <w:szCs w:val="19"/>
              </w:rPr>
              <w:t xml:space="preserve">Timeline</w:t>
            </w:r>
          </w:p>
        </w:tc>
      </w:tr>
      <w:tr>
        <w:tc>
          <w:tcPr>
            <w:tcW w:type="dxa" w:w="22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Creator Tokens ($Name)</w:t>
            </w:r>
          </w:p>
        </w:tc>
        <w:tc>
          <w:tcPr>
            <w:tcW w:type="dxa" w:w="18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On-chain Solana SPL</w:t>
            </w:r>
          </w:p>
        </w:tc>
        <w:tc>
          <w:tcPr>
            <w:tcW w:type="dxa" w:w="356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Individual creator brand equity. 100M fixed supply per creator. Independent per creator.</w:t>
            </w:r>
          </w:p>
        </w:tc>
        <w:tc>
          <w:tcPr>
            <w:tcW w:type="dxa" w:w="18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Available at launch. Any qualifying creator.</w:t>
            </w:r>
          </w:p>
        </w:tc>
      </w:tr>
      <w:tr>
        <w:tc>
          <w:tcPr>
            <w:tcW w:type="dxa" w:w="22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People Points (PP)</w:t>
            </w:r>
          </w:p>
        </w:tc>
        <w:tc>
          <w:tcPr>
            <w:tcW w:type="dxa" w:w="18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Off-chain database credit</w:t>
            </w:r>
          </w:p>
        </w:tc>
        <w:tc>
          <w:tcPr>
            <w:tcW w:type="dxa" w:w="356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Pre-launch and ongoing reward for platform engagement. Future $PEOPLE conversion rights.</w:t>
            </w:r>
          </w:p>
        </w:tc>
        <w:tc>
          <w:tcPr>
            <w:tcW w:type="dxa" w:w="18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Active from platform launch.</w:t>
            </w:r>
          </w:p>
        </w:tc>
      </w:tr>
      <w:tr>
        <w:tc>
          <w:tcPr>
            <w:tcW w:type="dxa" w:w="22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$PEOPLE Token</w:t>
            </w:r>
          </w:p>
        </w:tc>
        <w:tc>
          <w:tcPr>
            <w:tcW w:type="dxa" w:w="18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On-chain Solana SPL</w:t>
            </w:r>
          </w:p>
        </w:tc>
        <w:tc>
          <w:tcPr>
            <w:tcW w:type="dxa" w:w="356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Platform governance and utility token. Community voting on protocol parameters.</w:t>
            </w:r>
          </w:p>
        </w:tc>
        <w:tc>
          <w:tcPr>
            <w:tcW w:type="dxa" w:w="18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2-3 years post-launch. Requires $5M+ annualised revenue confirmation.</w:t>
            </w:r>
          </w:p>
        </w:tc>
      </w:tr>
    </w:tbl>
    <w:p>
      <w:pPr>
        <w:spacing w:after="200" w:before="40" w:line="276"/>
        <w:jc w:val="center"/>
      </w:pPr>
      <w:r>
        <w:rPr>
          <w:rFonts w:ascii="Times New Roman" w:cs="Times New Roman" w:eastAsia="Times New Roman" w:hAnsi="Times New Roman"/>
          <w:b w:val="false"/>
          <w:bCs w:val="false"/>
          <w:i/>
          <w:iCs/>
          <w:smallCaps w:val="false"/>
          <w:color w:val="666666"/>
          <w:sz w:val="18"/>
          <w:szCs w:val="18"/>
        </w:rPr>
        <w:t xml:space="preserve">Table 2. The three token systems operating within the People.market ecosystem.</w:t>
      </w:r>
    </w:p>
    <w:p>
      <w:pPr>
        <w:spacing w:after="120" w:before="40" w:line="276"/>
        <w:ind w:left="720"/>
        <w:jc w:val="both"/>
      </w:pPr>
      <w:r>
        <w:rPr>
          <w:rFonts w:ascii="Times New Roman" w:cs="Times New Roman" w:eastAsia="Times New Roman" w:hAnsi="Times New Roman"/>
          <w:b/>
          <w:bCs/>
          <w:i w:val="false"/>
          <w:iCs w:val="false"/>
          <w:smallCaps w:val="false"/>
          <w:color w:val="111111"/>
          <w:sz w:val="20"/>
          <w:szCs w:val="20"/>
        </w:rPr>
        <w:t xml:space="preserve">Note: </w:t>
      </w:r>
      <w:r>
        <w:rPr>
          <w:rFonts w:ascii="Times New Roman" w:cs="Times New Roman" w:eastAsia="Times New Roman" w:hAnsi="Times New Roman"/>
          <w:b w:val="false"/>
          <w:bCs w:val="false"/>
          <w:i/>
          <w:iCs/>
          <w:smallCaps w:val="false"/>
          <w:color w:val="444444"/>
          <w:sz w:val="20"/>
          <w:szCs w:val="20"/>
        </w:rPr>
        <w:t xml:space="preserve">Creator tokens ($ARJUN, $SOFIA, $SUMIT) are entirely independent of $PEOPLE and of each other. Each token has its own price, bonding curve, community, and income stream. $PEOPLE is the future platform governance token. People Points are pre-launch off-chain credits. Zero economic coupling exists between any of the three systems.</w:t>
      </w:r>
    </w:p>
    <w:p>
      <w:r>
        <w:br w:type="page"/>
      </w:r>
    </w:p>
    <w:p>
      <w:pPr>
        <w:pStyle w:val="Heading1"/>
        <w:pBdr>
          <w:bottom w:val="single" w:color="1A1A1A" w:sz="6" w:space="6"/>
        </w:pBdr>
        <w:spacing w:after="160" w:before="480"/>
      </w:pPr>
      <w:r>
        <w:rPr>
          <w:rFonts w:ascii="Times New Roman" w:cs="Times New Roman" w:eastAsia="Times New Roman" w:hAnsi="Times New Roman"/>
          <w:b/>
          <w:bCs/>
          <w:i w:val="false"/>
          <w:iCs w:val="false"/>
          <w:smallCaps w:val="false"/>
          <w:color w:val="111111"/>
          <w:sz w:val="28"/>
          <w:szCs w:val="28"/>
        </w:rPr>
        <w:t xml:space="preserve">6.   </w:t>
      </w:r>
      <w:r>
        <w:rPr>
          <w:rFonts w:ascii="Times New Roman" w:cs="Times New Roman" w:eastAsia="Times New Roman" w:hAnsi="Times New Roman"/>
          <w:b/>
          <w:bCs/>
          <w:i w:val="false"/>
          <w:iCs w:val="false"/>
          <w:smallCaps/>
          <w:color w:val="111111"/>
          <w:sz w:val="28"/>
          <w:szCs w:val="28"/>
        </w:rPr>
        <w:t xml:space="preserve">CREATOR TOKEN SPECIFICATION</w:t>
      </w:r>
    </w:p>
    <w:p>
      <w:pPr>
        <w:pStyle w:val="Heading2"/>
        <w:spacing w:after="100" w:before="320"/>
      </w:pPr>
      <w:r>
        <w:rPr>
          <w:rFonts w:ascii="Times New Roman" w:cs="Times New Roman" w:eastAsia="Times New Roman" w:hAnsi="Times New Roman"/>
          <w:b/>
          <w:bCs/>
          <w:i w:val="false"/>
          <w:iCs w:val="false"/>
          <w:smallCaps w:val="false"/>
          <w:color w:val="111111"/>
          <w:sz w:val="24"/>
          <w:szCs w:val="24"/>
        </w:rPr>
        <w:t xml:space="preserve">6.1  Supply Architecture</w:t>
      </w:r>
    </w:p>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Every creator token has a fixed total supply of exactly 100,000,000 units. This supply is minted atomically at deployment and cannot be increased under any circumstances. The token mint authority is revoked immediately after deployment. Supply distribution operates in two phases separated by the DEX graduation event.</w:t>
      </w:r>
    </w:p>
    <w:p>
      <w:pPr>
        <w:pStyle w:val="Heading3"/>
        <w:spacing w:after="80" w:before="220"/>
      </w:pPr>
      <w:r>
        <w:rPr>
          <w:rFonts w:ascii="Times New Roman" w:cs="Times New Roman" w:eastAsia="Times New Roman" w:hAnsi="Times New Roman"/>
          <w:b/>
          <w:bCs/>
          <w:i w:val="false"/>
          <w:iCs w:val="false"/>
          <w:smallCaps w:val="false"/>
          <w:color w:val="111111"/>
          <w:sz w:val="22"/>
          <w:szCs w:val="22"/>
        </w:rPr>
        <w:t xml:space="preserve">6.1.1  Phase 1 — At Launch (Bonding Curve Active)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1700"/>
        <w:gridCol w:w="800"/>
        <w:gridCol w:w="4460"/>
      </w:tblGrid>
      <w:tr>
        <w:trPr>
          <w:tblHeader/>
        </w:trPr>
        <w:tc>
          <w:tcPr>
            <w:tcW w:type="dxa" w:w="2400"/>
            <w:tcBorders>
              <w:top w:val="single" w:color="CCCCCC" w:sz="4"/>
              <w:left w:val="single" w:color="CCCCCC" w:sz="4"/>
              <w:bottom w:val="single" w:color="CCCCCC" w:sz="4"/>
              <w:right w:val="single" w:color="CCCCCC" w:sz="4"/>
            </w:tcBorders>
            <w:shd w:fill="1A1A1A" w:val="clear"/>
            <w:tcMar>
              <w:top w:type="dxa" w:w="80"/>
              <w:left w:type="dxa" w:w="120"/>
              <w:bottom w:type="dxa" w:w="80"/>
              <w:right w:type="dxa" w:w="120"/>
            </w:tcMar>
          </w:tcPr>
          <w:p>
            <w:pPr>
              <w:spacing w:after="0" w:before="0"/>
            </w:pPr>
            <w:r>
              <w:rPr>
                <w:rFonts w:ascii="Times New Roman" w:cs="Times New Roman" w:eastAsia="Times New Roman" w:hAnsi="Times New Roman"/>
                <w:b/>
                <w:bCs/>
                <w:i w:val="false"/>
                <w:iCs w:val="false"/>
                <w:smallCaps w:val="false"/>
                <w:color w:val="FFFFFF"/>
                <w:sz w:val="19"/>
                <w:szCs w:val="19"/>
              </w:rPr>
              <w:t xml:space="preserve">Allocation</w:t>
            </w:r>
          </w:p>
        </w:tc>
        <w:tc>
          <w:tcPr>
            <w:tcW w:type="dxa" w:w="1700"/>
            <w:tcBorders>
              <w:top w:val="single" w:color="CCCCCC" w:sz="4"/>
              <w:left w:val="single" w:color="CCCCCC" w:sz="4"/>
              <w:bottom w:val="single" w:color="CCCCCC" w:sz="4"/>
              <w:right w:val="single" w:color="CCCCCC" w:sz="4"/>
            </w:tcBorders>
            <w:shd w:fill="1A1A1A" w:val="clear"/>
            <w:tcMar>
              <w:top w:type="dxa" w:w="80"/>
              <w:left w:type="dxa" w:w="120"/>
              <w:bottom w:type="dxa" w:w="80"/>
              <w:right w:type="dxa" w:w="120"/>
            </w:tcMar>
          </w:tcPr>
          <w:p>
            <w:pPr>
              <w:spacing w:after="0" w:before="0"/>
            </w:pPr>
            <w:r>
              <w:rPr>
                <w:rFonts w:ascii="Times New Roman" w:cs="Times New Roman" w:eastAsia="Times New Roman" w:hAnsi="Times New Roman"/>
                <w:b/>
                <w:bCs/>
                <w:i w:val="false"/>
                <w:iCs w:val="false"/>
                <w:smallCaps w:val="false"/>
                <w:color w:val="FFFFFF"/>
                <w:sz w:val="19"/>
                <w:szCs w:val="19"/>
              </w:rPr>
              <w:t xml:space="preserve">Tokens</w:t>
            </w:r>
          </w:p>
        </w:tc>
        <w:tc>
          <w:tcPr>
            <w:tcW w:type="dxa" w:w="800"/>
            <w:tcBorders>
              <w:top w:val="single" w:color="CCCCCC" w:sz="4"/>
              <w:left w:val="single" w:color="CCCCCC" w:sz="4"/>
              <w:bottom w:val="single" w:color="CCCCCC" w:sz="4"/>
              <w:right w:val="single" w:color="CCCCCC" w:sz="4"/>
            </w:tcBorders>
            <w:shd w:fill="1A1A1A" w:val="clear"/>
            <w:tcMar>
              <w:top w:type="dxa" w:w="80"/>
              <w:left w:type="dxa" w:w="120"/>
              <w:bottom w:type="dxa" w:w="80"/>
              <w:right w:type="dxa" w:w="120"/>
            </w:tcMar>
          </w:tcPr>
          <w:p>
            <w:pPr>
              <w:spacing w:after="0" w:before="0"/>
            </w:pPr>
            <w:r>
              <w:rPr>
                <w:rFonts w:ascii="Times New Roman" w:cs="Times New Roman" w:eastAsia="Times New Roman" w:hAnsi="Times New Roman"/>
                <w:b/>
                <w:bCs/>
                <w:i w:val="false"/>
                <w:iCs w:val="false"/>
                <w:smallCaps w:val="false"/>
                <w:color w:val="FFFFFF"/>
                <w:sz w:val="19"/>
                <w:szCs w:val="19"/>
              </w:rPr>
              <w:t xml:space="preserve">Pct.</w:t>
            </w:r>
          </w:p>
        </w:tc>
        <w:tc>
          <w:tcPr>
            <w:tcW w:type="dxa" w:w="4460"/>
            <w:tcBorders>
              <w:top w:val="single" w:color="CCCCCC" w:sz="4"/>
              <w:left w:val="single" w:color="CCCCCC" w:sz="4"/>
              <w:bottom w:val="single" w:color="CCCCCC" w:sz="4"/>
              <w:right w:val="single" w:color="CCCCCC" w:sz="4"/>
            </w:tcBorders>
            <w:shd w:fill="1A1A1A" w:val="clear"/>
            <w:tcMar>
              <w:top w:type="dxa" w:w="80"/>
              <w:left w:type="dxa" w:w="120"/>
              <w:bottom w:type="dxa" w:w="80"/>
              <w:right w:type="dxa" w:w="120"/>
            </w:tcMar>
          </w:tcPr>
          <w:p>
            <w:pPr>
              <w:spacing w:after="0" w:before="0"/>
            </w:pPr>
            <w:r>
              <w:rPr>
                <w:rFonts w:ascii="Times New Roman" w:cs="Times New Roman" w:eastAsia="Times New Roman" w:hAnsi="Times New Roman"/>
                <w:b/>
                <w:bCs/>
                <w:i w:val="false"/>
                <w:iCs w:val="false"/>
                <w:smallCaps w:val="false"/>
                <w:color w:val="FFFFFF"/>
                <w:sz w:val="19"/>
                <w:szCs w:val="19"/>
              </w:rPr>
              <w:t xml:space="preserve">Mechanism and Lock Conditions</w:t>
            </w:r>
          </w:p>
        </w:tc>
      </w:tr>
      <w:tr>
        <w:tc>
          <w:tcPr>
            <w:tcW w:type="dxa" w:w="24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Public Bonding Curve</w:t>
            </w:r>
          </w:p>
        </w:tc>
        <w:tc>
          <w:tcPr>
            <w:tcW w:type="dxa" w:w="17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20,000,000</w:t>
            </w:r>
          </w:p>
        </w:tc>
        <w:tc>
          <w:tcPr>
            <w:tcW w:type="dxa" w:w="8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20%</w:t>
            </w:r>
          </w:p>
        </w:tc>
        <w:tc>
          <w:tcPr>
            <w:tcW w:type="dxa" w:w="446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Sold publicly via exponential bonding curve. Price progresses from $0.003 to $0.015. SOL raised distributes at graduation per the 87/4/4/5 split.</w:t>
            </w:r>
          </w:p>
        </w:tc>
      </w:tr>
      <w:tr>
        <w:tc>
          <w:tcPr>
            <w:tcW w:type="dxa" w:w="24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Creator Reserve</w:t>
            </w:r>
          </w:p>
        </w:tc>
        <w:tc>
          <w:tcPr>
            <w:tcW w:type="dxa" w:w="17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78,000,000</w:t>
            </w:r>
          </w:p>
        </w:tc>
        <w:tc>
          <w:tcPr>
            <w:tcW w:type="dxa" w:w="8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78%</w:t>
            </w:r>
          </w:p>
        </w:tc>
        <w:tc>
          <w:tcPr>
            <w:tcW w:type="dxa" w:w="446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Locked in vesting smart contract. No cliff. Auto-calculated daily release of 4,485 tokens begins after DEX graduation. Manual claim by creator.</w:t>
            </w:r>
          </w:p>
        </w:tc>
      </w:tr>
      <w:tr>
        <w:tc>
          <w:tcPr>
            <w:tcW w:type="dxa" w:w="24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Task / Community Pool</w:t>
            </w:r>
          </w:p>
        </w:tc>
        <w:tc>
          <w:tcPr>
            <w:tcW w:type="dxa" w:w="17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2,000,000</w:t>
            </w:r>
          </w:p>
        </w:tc>
        <w:tc>
          <w:tcPr>
            <w:tcW w:type="dxa" w:w="8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2%</w:t>
            </w:r>
          </w:p>
        </w:tc>
        <w:tc>
          <w:tcPr>
            <w:tcW w:type="dxa" w:w="446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Locked in task escrow program. Released to users completing verified creator tasks. 30-day cliff post-graduation, then 10% per month for 10 months.</w:t>
            </w:r>
          </w:p>
        </w:tc>
      </w:tr>
    </w:tbl>
    <w:p>
      <w:pPr>
        <w:spacing w:after="200" w:before="40" w:line="276"/>
        <w:jc w:val="center"/>
      </w:pPr>
      <w:r>
        <w:rPr>
          <w:rFonts w:ascii="Times New Roman" w:cs="Times New Roman" w:eastAsia="Times New Roman" w:hAnsi="Times New Roman"/>
          <w:b w:val="false"/>
          <w:bCs w:val="false"/>
          <w:i/>
          <w:iCs/>
          <w:smallCaps w:val="false"/>
          <w:color w:val="666666"/>
          <w:sz w:val="18"/>
          <w:szCs w:val="18"/>
        </w:rPr>
        <w:t xml:space="preserve">Table 3. Token supply distribution at launch.</w:t>
      </w:r>
    </w:p>
    <w:p>
      <w:pPr>
        <w:pStyle w:val="Heading3"/>
        <w:spacing w:after="80" w:before="220"/>
      </w:pPr>
      <w:r>
        <w:rPr>
          <w:rFonts w:ascii="Times New Roman" w:cs="Times New Roman" w:eastAsia="Times New Roman" w:hAnsi="Times New Roman"/>
          <w:b/>
          <w:bCs/>
          <w:i w:val="false"/>
          <w:iCs w:val="false"/>
          <w:smallCaps w:val="false"/>
          <w:color w:val="111111"/>
          <w:sz w:val="22"/>
          <w:szCs w:val="22"/>
        </w:rPr>
        <w:t xml:space="preserve">6.1.2  Phase 2 — Post-DEX Graduation (Permanent State)</w:t>
      </w:r>
    </w:p>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At graduation, 10,730,000 tokens are drawn from the creator's 78M reserve and contributed to the Raydium CPMM liquidity pool as the token side of the trading pair (see Section 8.2 for the derivation). This permanently restructures the distribution as follows: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1700"/>
        <w:gridCol w:w="800"/>
        <w:gridCol w:w="4460"/>
      </w:tblGrid>
      <w:tr>
        <w:trPr>
          <w:tblHeader/>
        </w:trPr>
        <w:tc>
          <w:tcPr>
            <w:tcW w:type="dxa" w:w="2400"/>
            <w:tcBorders>
              <w:top w:val="single" w:color="CCCCCC" w:sz="4"/>
              <w:left w:val="single" w:color="CCCCCC" w:sz="4"/>
              <w:bottom w:val="single" w:color="CCCCCC" w:sz="4"/>
              <w:right w:val="single" w:color="CCCCCC" w:sz="4"/>
            </w:tcBorders>
            <w:shd w:fill="1A1A1A" w:val="clear"/>
            <w:tcMar>
              <w:top w:type="dxa" w:w="80"/>
              <w:left w:type="dxa" w:w="120"/>
              <w:bottom w:type="dxa" w:w="80"/>
              <w:right w:type="dxa" w:w="120"/>
            </w:tcMar>
          </w:tcPr>
          <w:p>
            <w:pPr>
              <w:spacing w:after="0" w:before="0"/>
            </w:pPr>
            <w:r>
              <w:rPr>
                <w:rFonts w:ascii="Times New Roman" w:cs="Times New Roman" w:eastAsia="Times New Roman" w:hAnsi="Times New Roman"/>
                <w:b/>
                <w:bCs/>
                <w:i w:val="false"/>
                <w:iCs w:val="false"/>
                <w:smallCaps w:val="false"/>
                <w:color w:val="FFFFFF"/>
                <w:sz w:val="19"/>
                <w:szCs w:val="19"/>
              </w:rPr>
              <w:t xml:space="preserve">Holder Category</w:t>
            </w:r>
          </w:p>
        </w:tc>
        <w:tc>
          <w:tcPr>
            <w:tcW w:type="dxa" w:w="1700"/>
            <w:tcBorders>
              <w:top w:val="single" w:color="CCCCCC" w:sz="4"/>
              <w:left w:val="single" w:color="CCCCCC" w:sz="4"/>
              <w:bottom w:val="single" w:color="CCCCCC" w:sz="4"/>
              <w:right w:val="single" w:color="CCCCCC" w:sz="4"/>
            </w:tcBorders>
            <w:shd w:fill="1A1A1A" w:val="clear"/>
            <w:tcMar>
              <w:top w:type="dxa" w:w="80"/>
              <w:left w:type="dxa" w:w="120"/>
              <w:bottom w:type="dxa" w:w="80"/>
              <w:right w:type="dxa" w:w="120"/>
            </w:tcMar>
          </w:tcPr>
          <w:p>
            <w:pPr>
              <w:spacing w:after="0" w:before="0"/>
            </w:pPr>
            <w:r>
              <w:rPr>
                <w:rFonts w:ascii="Times New Roman" w:cs="Times New Roman" w:eastAsia="Times New Roman" w:hAnsi="Times New Roman"/>
                <w:b/>
                <w:bCs/>
                <w:i w:val="false"/>
                <w:iCs w:val="false"/>
                <w:smallCaps w:val="false"/>
                <w:color w:val="FFFFFF"/>
                <w:sz w:val="19"/>
                <w:szCs w:val="19"/>
              </w:rPr>
              <w:t xml:space="preserve">Tokens</w:t>
            </w:r>
          </w:p>
        </w:tc>
        <w:tc>
          <w:tcPr>
            <w:tcW w:type="dxa" w:w="800"/>
            <w:tcBorders>
              <w:top w:val="single" w:color="CCCCCC" w:sz="4"/>
              <w:left w:val="single" w:color="CCCCCC" w:sz="4"/>
              <w:bottom w:val="single" w:color="CCCCCC" w:sz="4"/>
              <w:right w:val="single" w:color="CCCCCC" w:sz="4"/>
            </w:tcBorders>
            <w:shd w:fill="1A1A1A" w:val="clear"/>
            <w:tcMar>
              <w:top w:type="dxa" w:w="80"/>
              <w:left w:type="dxa" w:w="120"/>
              <w:bottom w:type="dxa" w:w="80"/>
              <w:right w:type="dxa" w:w="120"/>
            </w:tcMar>
          </w:tcPr>
          <w:p>
            <w:pPr>
              <w:spacing w:after="0" w:before="0"/>
            </w:pPr>
            <w:r>
              <w:rPr>
                <w:rFonts w:ascii="Times New Roman" w:cs="Times New Roman" w:eastAsia="Times New Roman" w:hAnsi="Times New Roman"/>
                <w:b/>
                <w:bCs/>
                <w:i w:val="false"/>
                <w:iCs w:val="false"/>
                <w:smallCaps w:val="false"/>
                <w:color w:val="FFFFFF"/>
                <w:sz w:val="19"/>
                <w:szCs w:val="19"/>
              </w:rPr>
              <w:t xml:space="preserve">Pct.</w:t>
            </w:r>
          </w:p>
        </w:tc>
        <w:tc>
          <w:tcPr>
            <w:tcW w:type="dxa" w:w="4460"/>
            <w:tcBorders>
              <w:top w:val="single" w:color="CCCCCC" w:sz="4"/>
              <w:left w:val="single" w:color="CCCCCC" w:sz="4"/>
              <w:bottom w:val="single" w:color="CCCCCC" w:sz="4"/>
              <w:right w:val="single" w:color="CCCCCC" w:sz="4"/>
            </w:tcBorders>
            <w:shd w:fill="1A1A1A" w:val="clear"/>
            <w:tcMar>
              <w:top w:type="dxa" w:w="80"/>
              <w:left w:type="dxa" w:w="120"/>
              <w:bottom w:type="dxa" w:w="80"/>
              <w:right w:type="dxa" w:w="120"/>
            </w:tcMar>
          </w:tcPr>
          <w:p>
            <w:pPr>
              <w:spacing w:after="0" w:before="0"/>
            </w:pPr>
            <w:r>
              <w:rPr>
                <w:rFonts w:ascii="Times New Roman" w:cs="Times New Roman" w:eastAsia="Times New Roman" w:hAnsi="Times New Roman"/>
                <w:b/>
                <w:bCs/>
                <w:i w:val="false"/>
                <w:iCs w:val="false"/>
                <w:smallCaps w:val="false"/>
                <w:color w:val="FFFFFF"/>
                <w:sz w:val="19"/>
                <w:szCs w:val="19"/>
              </w:rPr>
              <w:t xml:space="preserve">Status</w:t>
            </w:r>
          </w:p>
        </w:tc>
      </w:tr>
      <w:tr>
        <w:tc>
          <w:tcPr>
            <w:tcW w:type="dxa" w:w="24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Creator Vesting</w:t>
            </w:r>
          </w:p>
        </w:tc>
        <w:tc>
          <w:tcPr>
            <w:tcW w:type="dxa" w:w="17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67,270,000</w:t>
            </w:r>
          </w:p>
        </w:tc>
        <w:tc>
          <w:tcPr>
            <w:tcW w:type="dxa" w:w="8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67.27%</w:t>
            </w:r>
          </w:p>
        </w:tc>
        <w:tc>
          <w:tcPr>
            <w:tcW w:type="dxa" w:w="446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Releases at fixed 4,485 tokens/day. Manual claim. Missed days extend schedule by +1 day each.</w:t>
            </w:r>
          </w:p>
        </w:tc>
      </w:tr>
      <w:tr>
        <w:tc>
          <w:tcPr>
            <w:tcW w:type="dxa" w:w="24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Public Buyers</w:t>
            </w:r>
          </w:p>
        </w:tc>
        <w:tc>
          <w:tcPr>
            <w:tcW w:type="dxa" w:w="17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20,000,000</w:t>
            </w:r>
          </w:p>
        </w:tc>
        <w:tc>
          <w:tcPr>
            <w:tcW w:type="dxa" w:w="8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20.00%</w:t>
            </w:r>
          </w:p>
        </w:tc>
        <w:tc>
          <w:tcPr>
            <w:tcW w:type="dxa" w:w="446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Freely tradeable on Raydium from graduation day. Distributed across all bonding curve participants.</w:t>
            </w:r>
          </w:p>
        </w:tc>
      </w:tr>
      <w:tr>
        <w:tc>
          <w:tcPr>
            <w:tcW w:type="dxa" w:w="24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Raydium LP Pool</w:t>
            </w:r>
          </w:p>
        </w:tc>
        <w:tc>
          <w:tcPr>
            <w:tcW w:type="dxa" w:w="17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10,730,000</w:t>
            </w:r>
          </w:p>
        </w:tc>
        <w:tc>
          <w:tcPr>
            <w:tcW w:type="dxa" w:w="8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10.73%</w:t>
            </w:r>
          </w:p>
        </w:tc>
        <w:tc>
          <w:tcPr>
            <w:tcW w:type="dxa" w:w="446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LP tokens burned permanently. No individual ownership. Proportional income share redirects to platform treasury.</w:t>
            </w:r>
          </w:p>
        </w:tc>
      </w:tr>
      <w:tr>
        <w:tc>
          <w:tcPr>
            <w:tcW w:type="dxa" w:w="24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Task Pool (vesting)</w:t>
            </w:r>
          </w:p>
        </w:tc>
        <w:tc>
          <w:tcPr>
            <w:tcW w:type="dxa" w:w="17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2,000,000</w:t>
            </w:r>
          </w:p>
        </w:tc>
        <w:tc>
          <w:tcPr>
            <w:tcW w:type="dxa" w:w="8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2.00%</w:t>
            </w:r>
          </w:p>
        </w:tc>
        <w:tc>
          <w:tcPr>
            <w:tcW w:type="dxa" w:w="446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30-day cliff post-graduation. Then 10% of total earned balance claimable per month for 10 months.</w:t>
            </w:r>
          </w:p>
        </w:tc>
      </w:tr>
    </w:tbl>
    <w:p>
      <w:pPr>
        <w:spacing w:after="200" w:before="40" w:line="276"/>
        <w:jc w:val="center"/>
      </w:pPr>
      <w:r>
        <w:rPr>
          <w:rFonts w:ascii="Times New Roman" w:cs="Times New Roman" w:eastAsia="Times New Roman" w:hAnsi="Times New Roman"/>
          <w:b w:val="false"/>
          <w:bCs w:val="false"/>
          <w:i/>
          <w:iCs/>
          <w:smallCaps w:val="false"/>
          <w:color w:val="666666"/>
          <w:sz w:val="18"/>
          <w:szCs w:val="18"/>
        </w:rPr>
        <w:t xml:space="preserve">Table 4. Token distribution after DEX graduation.</w:t>
      </w:r>
    </w:p>
    <w:p>
      <w:pPr>
        <w:pStyle w:val="Heading2"/>
        <w:spacing w:after="100" w:before="320"/>
      </w:pPr>
      <w:r>
        <w:rPr>
          <w:rFonts w:ascii="Times New Roman" w:cs="Times New Roman" w:eastAsia="Times New Roman" w:hAnsi="Times New Roman"/>
          <w:b/>
          <w:bCs/>
          <w:i w:val="false"/>
          <w:iCs w:val="false"/>
          <w:smallCaps w:val="false"/>
          <w:color w:val="111111"/>
          <w:sz w:val="24"/>
          <w:szCs w:val="24"/>
        </w:rPr>
        <w:t xml:space="preserve">6.2  Circulating Supply and Non-Circulating Categories</w:t>
      </w:r>
    </w:p>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Circulating supply is defined as tokens freely tradeable at any given moment. Specifically:</w:t>
      </w:r>
    </w:p>
    <w:p>
      <w:pPr>
        <w:pStyle w:val="ListParagraph"/>
        <w:numPr>
          <w:ilvl w:val="0"/>
          <w:numId w:val="2"/>
        </w:numPr>
        <w:spacing w:after="80" w:before="40"/>
      </w:pPr>
      <w:r>
        <w:rPr>
          <w:rFonts w:ascii="Times New Roman" w:cs="Times New Roman" w:eastAsia="Times New Roman" w:hAnsi="Times New Roman"/>
          <w:b w:val="false"/>
          <w:bCs w:val="false"/>
          <w:i w:val="false"/>
          <w:iCs w:val="false"/>
          <w:smallCaps w:val="false"/>
          <w:color w:val="111111"/>
          <w:sz w:val="22"/>
          <w:szCs w:val="22"/>
        </w:rPr>
        <w:t xml:space="preserve">Circulating: Tokens held in public buyer wallets (20,000,000) plus tokens in the Raydium LP pool (10,730,000). Total circulating at graduation: 30,730,000.</w:t>
      </w:r>
    </w:p>
    <w:p>
      <w:pPr>
        <w:pStyle w:val="ListParagraph"/>
        <w:numPr>
          <w:ilvl w:val="0"/>
          <w:numId w:val="2"/>
        </w:numPr>
        <w:spacing w:after="80" w:before="40"/>
      </w:pPr>
      <w:r>
        <w:rPr>
          <w:rFonts w:ascii="Times New Roman" w:cs="Times New Roman" w:eastAsia="Times New Roman" w:hAnsi="Times New Roman"/>
          <w:b w:val="false"/>
          <w:bCs w:val="false"/>
          <w:i w:val="false"/>
          <w:iCs w:val="false"/>
          <w:smallCaps w:val="false"/>
          <w:color w:val="111111"/>
          <w:sz w:val="22"/>
          <w:szCs w:val="22"/>
        </w:rPr>
        <w:t xml:space="preserve">Non-circulating: Creator vesting balance (67,270,000 — locked in vesting program) and task escrow balances (2,000,000 — locked until vesting conditions are met).</w:t>
      </w:r>
    </w:p>
    <w:p>
      <w:pPr>
        <w:pStyle w:val="ListParagraph"/>
        <w:numPr>
          <w:ilvl w:val="0"/>
          <w:numId w:val="2"/>
        </w:numPr>
        <w:spacing w:after="80" w:before="40"/>
      </w:pPr>
      <w:r>
        <w:rPr>
          <w:rFonts w:ascii="Times New Roman" w:cs="Times New Roman" w:eastAsia="Times New Roman" w:hAnsi="Times New Roman"/>
          <w:b w:val="false"/>
          <w:bCs w:val="false"/>
          <w:i w:val="false"/>
          <w:iCs w:val="false"/>
          <w:smallCaps w:val="false"/>
          <w:color w:val="111111"/>
          <w:sz w:val="22"/>
          <w:szCs w:val="22"/>
        </w:rPr>
        <w:t xml:space="preserve">Partially circulating: Task tokens for which the 10%/month vesting has begun are counted as circulating from the point they become claimable, regardless of whether the user has claimed them, as they can be sold immediately upon claim.</w:t>
      </w:r>
    </w:p>
    <w:p>
      <w:pPr>
        <w:spacing w:after="120" w:before="40" w:line="276"/>
        <w:ind w:left="720"/>
        <w:jc w:val="both"/>
      </w:pPr>
      <w:r>
        <w:rPr>
          <w:rFonts w:ascii="Times New Roman" w:cs="Times New Roman" w:eastAsia="Times New Roman" w:hAnsi="Times New Roman"/>
          <w:b/>
          <w:bCs/>
          <w:i w:val="false"/>
          <w:iCs w:val="false"/>
          <w:smallCaps w:val="false"/>
          <w:color w:val="111111"/>
          <w:sz w:val="20"/>
          <w:szCs w:val="20"/>
        </w:rPr>
        <w:t xml:space="preserve">Note: </w:t>
      </w:r>
      <w:r>
        <w:rPr>
          <w:rFonts w:ascii="Times New Roman" w:cs="Times New Roman" w:eastAsia="Times New Roman" w:hAnsi="Times New Roman"/>
          <w:b w:val="false"/>
          <w:bCs w:val="false"/>
          <w:i/>
          <w:iCs/>
          <w:smallCaps w:val="false"/>
          <w:color w:val="444444"/>
          <w:sz w:val="20"/>
          <w:szCs w:val="20"/>
        </w:rPr>
        <w:t xml:space="preserve">Task tokens locked in the escrow smart contract exist on-chain within a program-derived address and are verifiable on Solscan. They are excluded from circulating supply calculations until they become claimable, at which point they are included regardless of actual claim status.</w:t>
      </w:r>
    </w:p>
    <w:p>
      <w:r>
        <w:br w:type="page"/>
      </w:r>
    </w:p>
    <w:p>
      <w:pPr>
        <w:pStyle w:val="Heading1"/>
        <w:pBdr>
          <w:bottom w:val="single" w:color="1A1A1A" w:sz="6" w:space="6"/>
        </w:pBdr>
        <w:spacing w:after="160" w:before="480"/>
      </w:pPr>
      <w:r>
        <w:rPr>
          <w:rFonts w:ascii="Times New Roman" w:cs="Times New Roman" w:eastAsia="Times New Roman" w:hAnsi="Times New Roman"/>
          <w:b/>
          <w:bCs/>
          <w:i w:val="false"/>
          <w:iCs w:val="false"/>
          <w:smallCaps w:val="false"/>
          <w:color w:val="111111"/>
          <w:sz w:val="28"/>
          <w:szCs w:val="28"/>
        </w:rPr>
        <w:t xml:space="preserve">7.   </w:t>
      </w:r>
      <w:r>
        <w:rPr>
          <w:rFonts w:ascii="Times New Roman" w:cs="Times New Roman" w:eastAsia="Times New Roman" w:hAnsi="Times New Roman"/>
          <w:b/>
          <w:bCs/>
          <w:i w:val="false"/>
          <w:iCs w:val="false"/>
          <w:smallCaps/>
          <w:color w:val="111111"/>
          <w:sz w:val="28"/>
          <w:szCs w:val="28"/>
        </w:rPr>
        <w:t xml:space="preserve">BONDING CURVE MECHANICS</w:t>
      </w:r>
    </w:p>
    <w:p>
      <w:pPr>
        <w:pStyle w:val="Heading2"/>
        <w:spacing w:after="100" w:before="320"/>
      </w:pPr>
      <w:r>
        <w:rPr>
          <w:rFonts w:ascii="Times New Roman" w:cs="Times New Roman" w:eastAsia="Times New Roman" w:hAnsi="Times New Roman"/>
          <w:b/>
          <w:bCs/>
          <w:i w:val="false"/>
          <w:iCs w:val="false"/>
          <w:smallCaps w:val="false"/>
          <w:color w:val="111111"/>
          <w:sz w:val="24"/>
          <w:szCs w:val="24"/>
        </w:rPr>
        <w:t xml:space="preserve">7.1  Pricing Formula</w:t>
      </w:r>
    </w:p>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The bonding curve governs all token pricing during the pre-graduation phase. An exponential function is selected over the quadratic function used by Friend.tech for three reasons: it produces a more gradual early price increase that does not immediately exclude community participants, it provides a fixed and predictable maximum return multiple (5×) rather than theoretically unbounded appreciation, and it is trivially invertible for exact cost and refund calculations.</w:t>
      </w:r>
    </w:p>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The price P at current supply S is defined by: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8460"/>
        <w:gridCol w:w="900"/>
      </w:tblGrid>
      <w:tr>
        <w:tc>
          <w:tcPr>
            <w:tcW w:type="dxa" w:w="8460"/>
            <w:tcBorders>
              <w:top w:val="single" w:color="CCCCCC" w:sz="4"/>
              <w:left w:val="single" w:color="CCCCCC" w:sz="4"/>
              <w:bottom w:val="single" w:color="CCCCCC" w:sz="4"/>
              <w:right w:val="none" w:color="FFFFFF" w:sz="0"/>
            </w:tcBorders>
            <w:shd w:fill="EFEFEF" w:val="clear"/>
            <w:tcMar>
              <w:top w:type="dxa" w:w="100"/>
              <w:left w:type="dxa" w:w="240"/>
              <w:bottom w:type="dxa" w:w="100"/>
              <w:right w:type="dxa" w:w="120"/>
            </w:tcMar>
          </w:tcPr>
          <w:p>
            <w:pPr>
              <w:spacing w:after="40" w:before="0"/>
            </w:pPr>
            <w:r>
              <w:rPr>
                <w:rFonts w:ascii="Courier New" w:cs="Courier New" w:eastAsia="Courier New" w:hAnsi="Courier New"/>
                <w:b/>
                <w:bCs/>
                <w:color w:val="1A1A1A"/>
                <w:sz w:val="22"/>
                <w:szCs w:val="22"/>
              </w:rPr>
              <w:t xml:space="preserve">P(S) = P₀ × 5^(S / 20,000,000)</w:t>
            </w:r>
          </w:p>
          <w:p>
            <w:pPr>
              <w:spacing w:after="0" w:before="0"/>
            </w:pPr>
            <w:r>
              <w:rPr>
                <w:rFonts w:ascii="Times New Roman" w:cs="Times New Roman" w:eastAsia="Times New Roman" w:hAnsi="Times New Roman"/>
                <w:b w:val="false"/>
                <w:bCs w:val="false"/>
                <w:i/>
                <w:iCs/>
                <w:smallCaps w:val="false"/>
                <w:color w:val="666666"/>
                <w:sz w:val="17"/>
                <w:szCs w:val="17"/>
              </w:rPr>
              <w:t xml:space="preserve">P₀ = SOL equivalent of $0.003 at token creation, locked via Pyth Network oracle. S = tokens sold (domain: [0, 20,000,000]).</w:t>
            </w:r>
          </w:p>
        </w:tc>
        <w:tc>
          <w:tcPr>
            <w:tcW w:type="dxa" w:w="900"/>
            <w:tcBorders>
              <w:top w:val="single" w:color="CCCCCC" w:sz="4"/>
              <w:left w:val="none" w:color="FFFFFF" w:sz="0"/>
              <w:bottom w:val="single" w:color="CCCCCC" w:sz="4"/>
              <w:right w:val="single" w:color="CCCCCC" w:sz="4"/>
            </w:tcBorders>
            <w:shd w:fill="EFEFEF" w:val="clear"/>
            <w:tcMar>
              <w:top w:type="dxa" w:w="100"/>
              <w:left w:type="dxa" w:w="80"/>
              <w:bottom w:type="dxa" w:w="100"/>
              <w:right w:type="dxa" w:w="120"/>
            </w:tcMar>
            <w:vAlign w:val="center"/>
          </w:tcPr>
          <w:p>
            <w:pPr>
              <w:spacing w:after="0" w:before="0"/>
              <w:jc w:val="right"/>
            </w:pPr>
            <w:r>
              <w:rPr>
                <w:rFonts w:ascii="Times New Roman" w:cs="Times New Roman" w:eastAsia="Times New Roman" w:hAnsi="Times New Roman"/>
                <w:b w:val="false"/>
                <w:bCs w:val="false"/>
                <w:i/>
                <w:iCs/>
                <w:smallCaps w:val="false"/>
                <w:color w:val="666666"/>
                <w:sz w:val="19"/>
                <w:szCs w:val="19"/>
              </w:rPr>
              <w:t xml:space="preserve">(1)</w:t>
            </w:r>
          </w:p>
        </w:tc>
      </w:tr>
    </w:tbl>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The base price P₀ is determined at token creation by querying the Pyth Network SOL/USD price feed and computing the SOL quantity equivalent to $0.003. This value is stored permanently in the bonding curve state account. All subsequent price calculations are denominated in SOL. Dollar values displayed in the user interface are labelled as approximate and computed by the frontend using the current Pyth SOL/USD price.</w:t>
      </w:r>
    </w:p>
    <w:p>
      <w:pPr>
        <w:spacing w:after="120" w:before="40" w:line="276"/>
        <w:ind w:left="720"/>
        <w:jc w:val="both"/>
      </w:pPr>
      <w:r>
        <w:rPr>
          <w:rFonts w:ascii="Times New Roman" w:cs="Times New Roman" w:eastAsia="Times New Roman" w:hAnsi="Times New Roman"/>
          <w:b/>
          <w:bCs/>
          <w:i w:val="false"/>
          <w:iCs w:val="false"/>
          <w:smallCaps w:val="false"/>
          <w:color w:val="111111"/>
          <w:sz w:val="20"/>
          <w:szCs w:val="20"/>
        </w:rPr>
        <w:t xml:space="preserve">Note: </w:t>
      </w:r>
      <w:r>
        <w:rPr>
          <w:rFonts w:ascii="Times New Roman" w:cs="Times New Roman" w:eastAsia="Times New Roman" w:hAnsi="Times New Roman"/>
          <w:b w:val="false"/>
          <w:bCs w:val="false"/>
          <w:i/>
          <w:iCs/>
          <w:smallCaps w:val="false"/>
          <w:color w:val="444444"/>
          <w:sz w:val="20"/>
          <w:szCs w:val="20"/>
        </w:rPr>
        <w:t xml:space="preserve">This architecture is identical to the pricing denomination model used by pump.fun, which has processed billions of dollars in volume without user confusion arising from SOL/USD price fluctuation. The Pyth Network oracle provides sub-second price updates with validated confidence intervals.</w:t>
      </w:r>
    </w:p>
    <w:p>
      <w:pPr>
        <w:pStyle w:val="Heading2"/>
        <w:spacing w:after="100" w:before="320"/>
      </w:pPr>
      <w:r>
        <w:rPr>
          <w:rFonts w:ascii="Times New Roman" w:cs="Times New Roman" w:eastAsia="Times New Roman" w:hAnsi="Times New Roman"/>
          <w:b/>
          <w:bCs/>
          <w:i w:val="false"/>
          <w:iCs w:val="false"/>
          <w:smallCaps w:val="false"/>
          <w:color w:val="111111"/>
          <w:sz w:val="24"/>
          <w:szCs w:val="24"/>
        </w:rPr>
        <w:t xml:space="preserve">7.2  Price Progression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1600"/>
        <w:gridCol w:w="2000"/>
        <w:gridCol w:w="2000"/>
        <w:gridCol w:w="1560"/>
      </w:tblGrid>
      <w:tr>
        <w:trPr>
          <w:tblHeader/>
        </w:trPr>
        <w:tc>
          <w:tcPr>
            <w:tcW w:type="dxa" w:w="2200"/>
            <w:tcBorders>
              <w:top w:val="single" w:color="CCCCCC" w:sz="4"/>
              <w:left w:val="single" w:color="CCCCCC" w:sz="4"/>
              <w:bottom w:val="single" w:color="CCCCCC" w:sz="4"/>
              <w:right w:val="single" w:color="CCCCCC" w:sz="4"/>
            </w:tcBorders>
            <w:shd w:fill="1A1A1A" w:val="clear"/>
            <w:tcMar>
              <w:top w:type="dxa" w:w="80"/>
              <w:left w:type="dxa" w:w="120"/>
              <w:bottom w:type="dxa" w:w="80"/>
              <w:right w:type="dxa" w:w="120"/>
            </w:tcMar>
          </w:tcPr>
          <w:p>
            <w:pPr>
              <w:spacing w:after="0" w:before="0"/>
            </w:pPr>
            <w:r>
              <w:rPr>
                <w:rFonts w:ascii="Times New Roman" w:cs="Times New Roman" w:eastAsia="Times New Roman" w:hAnsi="Times New Roman"/>
                <w:b/>
                <w:bCs/>
                <w:i w:val="false"/>
                <w:iCs w:val="false"/>
                <w:smallCaps w:val="false"/>
                <w:color w:val="FFFFFF"/>
                <w:sz w:val="19"/>
                <w:szCs w:val="19"/>
              </w:rPr>
              <w:t xml:space="preserve">Tokens Sold (S)</w:t>
            </w:r>
          </w:p>
        </w:tc>
        <w:tc>
          <w:tcPr>
            <w:tcW w:type="dxa" w:w="1600"/>
            <w:tcBorders>
              <w:top w:val="single" w:color="CCCCCC" w:sz="4"/>
              <w:left w:val="single" w:color="CCCCCC" w:sz="4"/>
              <w:bottom w:val="single" w:color="CCCCCC" w:sz="4"/>
              <w:right w:val="single" w:color="CCCCCC" w:sz="4"/>
            </w:tcBorders>
            <w:shd w:fill="1A1A1A" w:val="clear"/>
            <w:tcMar>
              <w:top w:type="dxa" w:w="80"/>
              <w:left w:type="dxa" w:w="120"/>
              <w:bottom w:type="dxa" w:w="80"/>
              <w:right w:type="dxa" w:w="120"/>
            </w:tcMar>
          </w:tcPr>
          <w:p>
            <w:pPr>
              <w:spacing w:after="0" w:before="0"/>
            </w:pPr>
            <w:r>
              <w:rPr>
                <w:rFonts w:ascii="Times New Roman" w:cs="Times New Roman" w:eastAsia="Times New Roman" w:hAnsi="Times New Roman"/>
                <w:b/>
                <w:bCs/>
                <w:i w:val="false"/>
                <w:iCs w:val="false"/>
                <w:smallCaps w:val="false"/>
                <w:color w:val="FFFFFF"/>
                <w:sz w:val="19"/>
                <w:szCs w:val="19"/>
              </w:rPr>
              <w:t xml:space="preserve">Curve Fill (%)</w:t>
            </w:r>
          </w:p>
        </w:tc>
        <w:tc>
          <w:tcPr>
            <w:tcW w:type="dxa" w:w="2000"/>
            <w:tcBorders>
              <w:top w:val="single" w:color="CCCCCC" w:sz="4"/>
              <w:left w:val="single" w:color="CCCCCC" w:sz="4"/>
              <w:bottom w:val="single" w:color="CCCCCC" w:sz="4"/>
              <w:right w:val="single" w:color="CCCCCC" w:sz="4"/>
            </w:tcBorders>
            <w:shd w:fill="1A1A1A" w:val="clear"/>
            <w:tcMar>
              <w:top w:type="dxa" w:w="80"/>
              <w:left w:type="dxa" w:w="120"/>
              <w:bottom w:type="dxa" w:w="80"/>
              <w:right w:type="dxa" w:w="120"/>
            </w:tcMar>
          </w:tcPr>
          <w:p>
            <w:pPr>
              <w:spacing w:after="0" w:before="0"/>
            </w:pPr>
            <w:r>
              <w:rPr>
                <w:rFonts w:ascii="Times New Roman" w:cs="Times New Roman" w:eastAsia="Times New Roman" w:hAnsi="Times New Roman"/>
                <w:b/>
                <w:bCs/>
                <w:i w:val="false"/>
                <w:iCs w:val="false"/>
                <w:smallCaps w:val="false"/>
                <w:color w:val="FFFFFF"/>
                <w:sz w:val="19"/>
                <w:szCs w:val="19"/>
              </w:rPr>
              <w:t xml:space="preserve">Formula</w:t>
            </w:r>
          </w:p>
        </w:tc>
        <w:tc>
          <w:tcPr>
            <w:tcW w:type="dxa" w:w="2000"/>
            <w:tcBorders>
              <w:top w:val="single" w:color="CCCCCC" w:sz="4"/>
              <w:left w:val="single" w:color="CCCCCC" w:sz="4"/>
              <w:bottom w:val="single" w:color="CCCCCC" w:sz="4"/>
              <w:right w:val="single" w:color="CCCCCC" w:sz="4"/>
            </w:tcBorders>
            <w:shd w:fill="1A1A1A" w:val="clear"/>
            <w:tcMar>
              <w:top w:type="dxa" w:w="80"/>
              <w:left w:type="dxa" w:w="120"/>
              <w:bottom w:type="dxa" w:w="80"/>
              <w:right w:type="dxa" w:w="120"/>
            </w:tcMar>
          </w:tcPr>
          <w:p>
            <w:pPr>
              <w:spacing w:after="0" w:before="0"/>
            </w:pPr>
            <w:r>
              <w:rPr>
                <w:rFonts w:ascii="Times New Roman" w:cs="Times New Roman" w:eastAsia="Times New Roman" w:hAnsi="Times New Roman"/>
                <w:b/>
                <w:bCs/>
                <w:i w:val="false"/>
                <w:iCs w:val="false"/>
                <w:smallCaps w:val="false"/>
                <w:color w:val="FFFFFF"/>
                <w:sz w:val="19"/>
                <w:szCs w:val="19"/>
              </w:rPr>
              <w:t xml:space="preserve">Price (USD approx.)</w:t>
            </w:r>
          </w:p>
        </w:tc>
        <w:tc>
          <w:tcPr>
            <w:tcW w:type="dxa" w:w="1560"/>
            <w:tcBorders>
              <w:top w:val="single" w:color="CCCCCC" w:sz="4"/>
              <w:left w:val="single" w:color="CCCCCC" w:sz="4"/>
              <w:bottom w:val="single" w:color="CCCCCC" w:sz="4"/>
              <w:right w:val="single" w:color="CCCCCC" w:sz="4"/>
            </w:tcBorders>
            <w:shd w:fill="1A1A1A" w:val="clear"/>
            <w:tcMar>
              <w:top w:type="dxa" w:w="80"/>
              <w:left w:type="dxa" w:w="120"/>
              <w:bottom w:type="dxa" w:w="80"/>
              <w:right w:type="dxa" w:w="120"/>
            </w:tcMar>
          </w:tcPr>
          <w:p>
            <w:pPr>
              <w:spacing w:after="0" w:before="0"/>
            </w:pPr>
            <w:r>
              <w:rPr>
                <w:rFonts w:ascii="Times New Roman" w:cs="Times New Roman" w:eastAsia="Times New Roman" w:hAnsi="Times New Roman"/>
                <w:b/>
                <w:bCs/>
                <w:i w:val="false"/>
                <w:iCs w:val="false"/>
                <w:smallCaps w:val="false"/>
                <w:color w:val="FFFFFF"/>
                <w:sz w:val="19"/>
                <w:szCs w:val="19"/>
              </w:rPr>
              <w:t xml:space="preserve">Multiple vs. Entry</w:t>
            </w:r>
          </w:p>
        </w:tc>
      </w:tr>
      <w:tr>
        <w:tc>
          <w:tcPr>
            <w:tcW w:type="dxa" w:w="22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0</w:t>
            </w:r>
          </w:p>
        </w:tc>
        <w:tc>
          <w:tcPr>
            <w:tcW w:type="dxa" w:w="16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0%</w:t>
            </w:r>
          </w:p>
        </w:tc>
        <w:tc>
          <w:tcPr>
            <w:tcW w:type="dxa" w:w="20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P₀ × 5⁰</w:t>
            </w:r>
          </w:p>
        </w:tc>
        <w:tc>
          <w:tcPr>
            <w:tcW w:type="dxa" w:w="20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$0.0030</w:t>
            </w:r>
          </w:p>
        </w:tc>
        <w:tc>
          <w:tcPr>
            <w:tcW w:type="dxa" w:w="156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1.00×</w:t>
            </w:r>
          </w:p>
        </w:tc>
      </w:tr>
      <w:tr>
        <w:tc>
          <w:tcPr>
            <w:tcW w:type="dxa" w:w="22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5,000,000</w:t>
            </w:r>
          </w:p>
        </w:tc>
        <w:tc>
          <w:tcPr>
            <w:tcW w:type="dxa" w:w="16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25%</w:t>
            </w:r>
          </w:p>
        </w:tc>
        <w:tc>
          <w:tcPr>
            <w:tcW w:type="dxa" w:w="20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P₀ × 5^0.25</w:t>
            </w:r>
          </w:p>
        </w:tc>
        <w:tc>
          <w:tcPr>
            <w:tcW w:type="dxa" w:w="20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$0.0047</w:t>
            </w:r>
          </w:p>
        </w:tc>
        <w:tc>
          <w:tcPr>
            <w:tcW w:type="dxa" w:w="156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1.57×</w:t>
            </w:r>
          </w:p>
        </w:tc>
      </w:tr>
      <w:tr>
        <w:tc>
          <w:tcPr>
            <w:tcW w:type="dxa" w:w="22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10,000,000</w:t>
            </w:r>
          </w:p>
        </w:tc>
        <w:tc>
          <w:tcPr>
            <w:tcW w:type="dxa" w:w="16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50%</w:t>
            </w:r>
          </w:p>
        </w:tc>
        <w:tc>
          <w:tcPr>
            <w:tcW w:type="dxa" w:w="20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P₀ × 5^0.50</w:t>
            </w:r>
          </w:p>
        </w:tc>
        <w:tc>
          <w:tcPr>
            <w:tcW w:type="dxa" w:w="20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$0.0067</w:t>
            </w:r>
          </w:p>
        </w:tc>
        <w:tc>
          <w:tcPr>
            <w:tcW w:type="dxa" w:w="156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2.24×</w:t>
            </w:r>
          </w:p>
        </w:tc>
      </w:tr>
      <w:tr>
        <w:tc>
          <w:tcPr>
            <w:tcW w:type="dxa" w:w="22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15,000,000</w:t>
            </w:r>
          </w:p>
        </w:tc>
        <w:tc>
          <w:tcPr>
            <w:tcW w:type="dxa" w:w="16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75%</w:t>
            </w:r>
          </w:p>
        </w:tc>
        <w:tc>
          <w:tcPr>
            <w:tcW w:type="dxa" w:w="20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P₀ × 5^0.75</w:t>
            </w:r>
          </w:p>
        </w:tc>
        <w:tc>
          <w:tcPr>
            <w:tcW w:type="dxa" w:w="20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$0.0095</w:t>
            </w:r>
          </w:p>
        </w:tc>
        <w:tc>
          <w:tcPr>
            <w:tcW w:type="dxa" w:w="156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3.16×</w:t>
            </w:r>
          </w:p>
        </w:tc>
      </w:tr>
      <w:tr>
        <w:tc>
          <w:tcPr>
            <w:tcW w:type="dxa" w:w="22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20,000,000</w:t>
            </w:r>
          </w:p>
        </w:tc>
        <w:tc>
          <w:tcPr>
            <w:tcW w:type="dxa" w:w="16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100%</w:t>
            </w:r>
          </w:p>
        </w:tc>
        <w:tc>
          <w:tcPr>
            <w:tcW w:type="dxa" w:w="20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P₀ × 5^1.00</w:t>
            </w:r>
          </w:p>
        </w:tc>
        <w:tc>
          <w:tcPr>
            <w:tcW w:type="dxa" w:w="20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$0.0150</w:t>
            </w:r>
          </w:p>
        </w:tc>
        <w:tc>
          <w:tcPr>
            <w:tcW w:type="dxa" w:w="156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5.00× (graduation)</w:t>
            </w:r>
          </w:p>
        </w:tc>
      </w:tr>
    </w:tbl>
    <w:p>
      <w:pPr>
        <w:spacing w:after="200" w:before="40" w:line="276"/>
        <w:jc w:val="center"/>
      </w:pPr>
      <w:r>
        <w:rPr>
          <w:rFonts w:ascii="Times New Roman" w:cs="Times New Roman" w:eastAsia="Times New Roman" w:hAnsi="Times New Roman"/>
          <w:b w:val="false"/>
          <w:bCs w:val="false"/>
          <w:i/>
          <w:iCs/>
          <w:smallCaps w:val="false"/>
          <w:color w:val="666666"/>
          <w:sz w:val="18"/>
          <w:szCs w:val="18"/>
        </w:rPr>
        <w:t xml:space="preserve">Table 5. Token price at key bonding curve milestones. Dollar values approximate at SOL = $150.</w:t>
      </w:r>
    </w:p>
    <w:p>
      <w:pPr>
        <w:pStyle w:val="Heading2"/>
        <w:spacing w:after="100" w:before="320"/>
      </w:pPr>
      <w:r>
        <w:rPr>
          <w:rFonts w:ascii="Times New Roman" w:cs="Times New Roman" w:eastAsia="Times New Roman" w:hAnsi="Times New Roman"/>
          <w:b/>
          <w:bCs/>
          <w:i w:val="false"/>
          <w:iCs w:val="false"/>
          <w:smallCaps w:val="false"/>
          <w:color w:val="111111"/>
          <w:sz w:val="24"/>
          <w:szCs w:val="24"/>
        </w:rPr>
        <w:t xml:space="preserve">7.3  Integral-Based Cost and Refund Calculation</w:t>
      </w:r>
    </w:p>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Token prices are computed as integrals rather than marginal prices. This ensures each buyer pays the mathematically correct average price across their entire purchase batch, eliminating front-running advantages that arise when purchases are priced at the marginal (final) token only.</w:t>
      </w:r>
    </w:p>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The cost C to purchase Δ tokens when current supply is S is the definite integral of P(S) from S to S+Δ:</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8460"/>
        <w:gridCol w:w="900"/>
      </w:tblGrid>
      <w:tr>
        <w:tc>
          <w:tcPr>
            <w:tcW w:type="dxa" w:w="8460"/>
            <w:tcBorders>
              <w:top w:val="single" w:color="CCCCCC" w:sz="4"/>
              <w:left w:val="single" w:color="CCCCCC" w:sz="4"/>
              <w:bottom w:val="single" w:color="CCCCCC" w:sz="4"/>
              <w:right w:val="none" w:color="FFFFFF" w:sz="0"/>
            </w:tcBorders>
            <w:shd w:fill="EFEFEF" w:val="clear"/>
            <w:tcMar>
              <w:top w:type="dxa" w:w="100"/>
              <w:left w:type="dxa" w:w="240"/>
              <w:bottom w:type="dxa" w:w="100"/>
              <w:right w:type="dxa" w:w="120"/>
            </w:tcMar>
          </w:tcPr>
          <w:p>
            <w:pPr>
              <w:spacing w:after="40" w:before="0"/>
            </w:pPr>
            <w:r>
              <w:rPr>
                <w:rFonts w:ascii="Courier New" w:cs="Courier New" w:eastAsia="Courier New" w:hAnsi="Courier New"/>
                <w:b/>
                <w:bCs/>
                <w:color w:val="1A1A1A"/>
                <w:sz w:val="22"/>
                <w:szCs w:val="22"/>
              </w:rPr>
              <w:t xml:space="preserve">C(S, Δ) = ∫[S to S+Δ] P₀ × 5^(x/M) dx</w:t>
            </w:r>
          </w:p>
          <w:p>
            <w:pPr>
              <w:spacing w:after="0" w:before="0"/>
            </w:pPr>
            <w:r>
              <w:rPr>
                <w:rFonts w:ascii="Times New Roman" w:cs="Times New Roman" w:eastAsia="Times New Roman" w:hAnsi="Times New Roman"/>
                <w:b w:val="false"/>
                <w:bCs w:val="false"/>
                <w:i/>
                <w:iCs/>
                <w:smallCaps w:val="false"/>
                <w:color w:val="666666"/>
                <w:sz w:val="17"/>
                <w:szCs w:val="17"/>
              </w:rPr>
              <w:t xml:space="preserve">M = 20,000,000 (maximum bonding curve supply).</w:t>
            </w:r>
          </w:p>
        </w:tc>
        <w:tc>
          <w:tcPr>
            <w:tcW w:type="dxa" w:w="900"/>
            <w:tcBorders>
              <w:top w:val="single" w:color="CCCCCC" w:sz="4"/>
              <w:left w:val="none" w:color="FFFFFF" w:sz="0"/>
              <w:bottom w:val="single" w:color="CCCCCC" w:sz="4"/>
              <w:right w:val="single" w:color="CCCCCC" w:sz="4"/>
            </w:tcBorders>
            <w:shd w:fill="EFEFEF" w:val="clear"/>
            <w:tcMar>
              <w:top w:type="dxa" w:w="100"/>
              <w:left w:type="dxa" w:w="80"/>
              <w:bottom w:type="dxa" w:w="100"/>
              <w:right w:type="dxa" w:w="120"/>
            </w:tcMar>
            <w:vAlign w:val="center"/>
          </w:tcPr>
          <w:p>
            <w:pPr>
              <w:spacing w:after="0" w:before="0"/>
              <w:jc w:val="right"/>
            </w:pPr>
            <w:r>
              <w:rPr>
                <w:rFonts w:ascii="Times New Roman" w:cs="Times New Roman" w:eastAsia="Times New Roman" w:hAnsi="Times New Roman"/>
                <w:b w:val="false"/>
                <w:bCs w:val="false"/>
                <w:i/>
                <w:iCs/>
                <w:smallCaps w:val="false"/>
                <w:color w:val="666666"/>
                <w:sz w:val="19"/>
                <w:szCs w:val="19"/>
              </w:rPr>
              <w:t xml:space="preserve">(2)</w:t>
            </w:r>
          </w:p>
        </w:tc>
      </w:tr>
    </w:tbl>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Evaluating the integral: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8460"/>
        <w:gridCol w:w="900"/>
      </w:tblGrid>
      <w:tr>
        <w:tc>
          <w:tcPr>
            <w:tcW w:type="dxa" w:w="8460"/>
            <w:tcBorders>
              <w:top w:val="single" w:color="CCCCCC" w:sz="4"/>
              <w:left w:val="single" w:color="CCCCCC" w:sz="4"/>
              <w:bottom w:val="single" w:color="CCCCCC" w:sz="4"/>
              <w:right w:val="none" w:color="FFFFFF" w:sz="0"/>
            </w:tcBorders>
            <w:shd w:fill="EFEFEF" w:val="clear"/>
            <w:tcMar>
              <w:top w:type="dxa" w:w="100"/>
              <w:left w:type="dxa" w:w="240"/>
              <w:bottom w:type="dxa" w:w="100"/>
              <w:right w:type="dxa" w:w="120"/>
            </w:tcMar>
          </w:tcPr>
          <w:p>
            <w:pPr>
              <w:spacing w:after="0" w:before="0"/>
            </w:pPr>
            <w:r>
              <w:rPr>
                <w:rFonts w:ascii="Courier New" w:cs="Courier New" w:eastAsia="Courier New" w:hAnsi="Courier New"/>
                <w:b/>
                <w:bCs/>
                <w:color w:val="1A1A1A"/>
                <w:sz w:val="22"/>
                <w:szCs w:val="22"/>
              </w:rPr>
              <w:t xml:space="preserve">C(S, Δ) = (P₀ × M / ln 5) × [5^((S+Δ)/M) - 5^(S/M)]</w:t>
            </w:r>
          </w:p>
        </w:tc>
        <w:tc>
          <w:tcPr>
            <w:tcW w:type="dxa" w:w="900"/>
            <w:tcBorders>
              <w:top w:val="single" w:color="CCCCCC" w:sz="4"/>
              <w:left w:val="none" w:color="FFFFFF" w:sz="0"/>
              <w:bottom w:val="single" w:color="CCCCCC" w:sz="4"/>
              <w:right w:val="single" w:color="CCCCCC" w:sz="4"/>
            </w:tcBorders>
            <w:shd w:fill="EFEFEF" w:val="clear"/>
            <w:tcMar>
              <w:top w:type="dxa" w:w="100"/>
              <w:left w:type="dxa" w:w="80"/>
              <w:bottom w:type="dxa" w:w="100"/>
              <w:right w:type="dxa" w:w="120"/>
            </w:tcMar>
            <w:vAlign w:val="center"/>
          </w:tcPr>
          <w:p>
            <w:pPr>
              <w:spacing w:after="0" w:before="0"/>
              <w:jc w:val="right"/>
            </w:pPr>
            <w:r>
              <w:rPr>
                <w:rFonts w:ascii="Times New Roman" w:cs="Times New Roman" w:eastAsia="Times New Roman" w:hAnsi="Times New Roman"/>
                <w:b w:val="false"/>
                <w:bCs w:val="false"/>
                <w:i/>
                <w:iCs/>
                <w:smallCaps w:val="false"/>
                <w:color w:val="666666"/>
                <w:sz w:val="19"/>
                <w:szCs w:val="19"/>
              </w:rPr>
              <w:t xml:space="preserve">(3)</w:t>
            </w:r>
          </w:p>
        </w:tc>
      </w:tr>
    </w:tbl>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The sell refund R for Δ tokens at current supply S is the symmetric inverse: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8460"/>
        <w:gridCol w:w="900"/>
      </w:tblGrid>
      <w:tr>
        <w:tc>
          <w:tcPr>
            <w:tcW w:type="dxa" w:w="8460"/>
            <w:tcBorders>
              <w:top w:val="single" w:color="CCCCCC" w:sz="4"/>
              <w:left w:val="single" w:color="CCCCCC" w:sz="4"/>
              <w:bottom w:val="single" w:color="CCCCCC" w:sz="4"/>
              <w:right w:val="none" w:color="FFFFFF" w:sz="0"/>
            </w:tcBorders>
            <w:shd w:fill="EFEFEF" w:val="clear"/>
            <w:tcMar>
              <w:top w:type="dxa" w:w="100"/>
              <w:left w:type="dxa" w:w="240"/>
              <w:bottom w:type="dxa" w:w="100"/>
              <w:right w:type="dxa" w:w="120"/>
            </w:tcMar>
          </w:tcPr>
          <w:p>
            <w:pPr>
              <w:spacing w:after="0" w:before="0"/>
            </w:pPr>
            <w:r>
              <w:rPr>
                <w:rFonts w:ascii="Courier New" w:cs="Courier New" w:eastAsia="Courier New" w:hAnsi="Courier New"/>
                <w:b/>
                <w:bCs/>
                <w:color w:val="1A1A1A"/>
                <w:sz w:val="22"/>
                <w:szCs w:val="22"/>
              </w:rPr>
              <w:t xml:space="preserve">R(S, Δ) = (P₀ × M / ln 5) × [5^(S/M) - 5^((S-Δ)/M)]</w:t>
            </w:r>
          </w:p>
        </w:tc>
        <w:tc>
          <w:tcPr>
            <w:tcW w:type="dxa" w:w="900"/>
            <w:tcBorders>
              <w:top w:val="single" w:color="CCCCCC" w:sz="4"/>
              <w:left w:val="none" w:color="FFFFFF" w:sz="0"/>
              <w:bottom w:val="single" w:color="CCCCCC" w:sz="4"/>
              <w:right w:val="single" w:color="CCCCCC" w:sz="4"/>
            </w:tcBorders>
            <w:shd w:fill="EFEFEF" w:val="clear"/>
            <w:tcMar>
              <w:top w:type="dxa" w:w="100"/>
              <w:left w:type="dxa" w:w="80"/>
              <w:bottom w:type="dxa" w:w="100"/>
              <w:right w:type="dxa" w:w="120"/>
            </w:tcMar>
            <w:vAlign w:val="center"/>
          </w:tcPr>
          <w:p>
            <w:pPr>
              <w:spacing w:after="0" w:before="0"/>
              <w:jc w:val="right"/>
            </w:pPr>
            <w:r>
              <w:rPr>
                <w:rFonts w:ascii="Times New Roman" w:cs="Times New Roman" w:eastAsia="Times New Roman" w:hAnsi="Times New Roman"/>
                <w:b w:val="false"/>
                <w:bCs w:val="false"/>
                <w:i/>
                <w:iCs/>
                <w:smallCaps w:val="false"/>
                <w:color w:val="666666"/>
                <w:sz w:val="19"/>
                <w:szCs w:val="19"/>
              </w:rPr>
              <w:t xml:space="preserve">(4)</w:t>
            </w:r>
          </w:p>
        </w:tc>
      </w:tr>
    </w:tbl>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The bonding curve contract always holds sufficient SOL to satisfy any sell refund at any supply level. This provides guaranteed liquidity in both directions throughout the pre-graduation phase — a structural advantage over traditional AMM pools which can be depleted.</w:t>
      </w:r>
    </w:p>
    <w:p>
      <w:pPr>
        <w:pStyle w:val="Heading2"/>
        <w:spacing w:after="100" w:before="320"/>
      </w:pPr>
      <w:r>
        <w:rPr>
          <w:rFonts w:ascii="Times New Roman" w:cs="Times New Roman" w:eastAsia="Times New Roman" w:hAnsi="Times New Roman"/>
          <w:b/>
          <w:bCs/>
          <w:i w:val="false"/>
          <w:iCs w:val="false"/>
          <w:smallCaps w:val="false"/>
          <w:color w:val="111111"/>
          <w:sz w:val="24"/>
          <w:szCs w:val="24"/>
        </w:rPr>
        <w:t xml:space="preserve">7.4  Total Funds at Full Graduation</w:t>
      </w:r>
    </w:p>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The total SOL raised when all 20,000,000 bonding curve tokens are sold is the definite integral of P(S) from 0 to 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8460"/>
        <w:gridCol w:w="900"/>
      </w:tblGrid>
      <w:tr>
        <w:tc>
          <w:tcPr>
            <w:tcW w:type="dxa" w:w="8460"/>
            <w:tcBorders>
              <w:top w:val="single" w:color="CCCCCC" w:sz="4"/>
              <w:left w:val="single" w:color="CCCCCC" w:sz="4"/>
              <w:bottom w:val="single" w:color="CCCCCC" w:sz="4"/>
              <w:right w:val="none" w:color="FFFFFF" w:sz="0"/>
            </w:tcBorders>
            <w:shd w:fill="EFEFEF" w:val="clear"/>
            <w:tcMar>
              <w:top w:type="dxa" w:w="100"/>
              <w:left w:type="dxa" w:w="240"/>
              <w:bottom w:type="dxa" w:w="100"/>
              <w:right w:type="dxa" w:w="120"/>
            </w:tcMar>
          </w:tcPr>
          <w:p>
            <w:pPr>
              <w:spacing w:after="40" w:before="0"/>
            </w:pPr>
            <w:r>
              <w:rPr>
                <w:rFonts w:ascii="Courier New" w:cs="Courier New" w:eastAsia="Courier New" w:hAnsi="Courier New"/>
                <w:b/>
                <w:bCs/>
                <w:color w:val="1A1A1A"/>
                <w:sz w:val="22"/>
                <w:szCs w:val="22"/>
              </w:rPr>
              <w:t xml:space="preserve">Total = (P₀ × M / ln 5) × (5¹ - 5⁰) = (P₀ × M / 1.6094) × 4 ≈ $185,000</w:t>
            </w:r>
          </w:p>
          <w:p>
            <w:pPr>
              <w:spacing w:after="0" w:before="0"/>
            </w:pPr>
            <w:r>
              <w:rPr>
                <w:rFonts w:ascii="Times New Roman" w:cs="Times New Roman" w:eastAsia="Times New Roman" w:hAnsi="Times New Roman"/>
                <w:b w:val="false"/>
                <w:bCs w:val="false"/>
                <w:i/>
                <w:iCs/>
                <w:smallCaps w:val="false"/>
                <w:color w:val="666666"/>
                <w:sz w:val="17"/>
                <w:szCs w:val="17"/>
              </w:rPr>
              <w:t xml:space="preserve">At P₀ = $0.003 and SOL = $150. Total scales linearly with SOL price at graduation.</w:t>
            </w:r>
          </w:p>
        </w:tc>
        <w:tc>
          <w:tcPr>
            <w:tcW w:type="dxa" w:w="900"/>
            <w:tcBorders>
              <w:top w:val="single" w:color="CCCCCC" w:sz="4"/>
              <w:left w:val="none" w:color="FFFFFF" w:sz="0"/>
              <w:bottom w:val="single" w:color="CCCCCC" w:sz="4"/>
              <w:right w:val="single" w:color="CCCCCC" w:sz="4"/>
            </w:tcBorders>
            <w:shd w:fill="EFEFEF" w:val="clear"/>
            <w:tcMar>
              <w:top w:type="dxa" w:w="100"/>
              <w:left w:type="dxa" w:w="80"/>
              <w:bottom w:type="dxa" w:w="100"/>
              <w:right w:type="dxa" w:w="120"/>
            </w:tcMar>
            <w:vAlign w:val="center"/>
          </w:tcPr>
          <w:p>
            <w:pPr>
              <w:spacing w:after="0" w:before="0"/>
              <w:jc w:val="right"/>
            </w:pPr>
            <w:r>
              <w:rPr>
                <w:rFonts w:ascii="Times New Roman" w:cs="Times New Roman" w:eastAsia="Times New Roman" w:hAnsi="Times New Roman"/>
                <w:b w:val="false"/>
                <w:bCs w:val="false"/>
                <w:i/>
                <w:iCs/>
                <w:smallCaps w:val="false"/>
                <w:color w:val="666666"/>
                <w:sz w:val="19"/>
                <w:szCs w:val="19"/>
              </w:rPr>
              <w:t xml:space="preserve">(5)</w:t>
            </w:r>
          </w:p>
        </w:tc>
      </w:tr>
    </w:tbl>
    <w:p>
      <w:pPr>
        <w:pStyle w:val="Heading2"/>
        <w:spacing w:after="100" w:before="320"/>
      </w:pPr>
      <w:r>
        <w:rPr>
          <w:rFonts w:ascii="Times New Roman" w:cs="Times New Roman" w:eastAsia="Times New Roman" w:hAnsi="Times New Roman"/>
          <w:b/>
          <w:bCs/>
          <w:i w:val="false"/>
          <w:iCs w:val="false"/>
          <w:smallCaps w:val="false"/>
          <w:color w:val="111111"/>
          <w:sz w:val="24"/>
          <w:szCs w:val="24"/>
        </w:rPr>
        <w:t xml:space="preserve">7.5  Price Dynamics Under Concurrent Buying and Selling</w:t>
      </w:r>
    </w:p>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The bonding curve tracks a single state variable S representing the net tokens currently sold. When a buyer purchases Δ tokens, S increases by Δ. When a seller returns Δ tokens, S decreases by Δ. The price P(S) is a continuous function of this state variable.</w:t>
      </w:r>
    </w:p>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Under real trading conditions, S fluctuates continuously as buyers and sellers interact. When plotted as price against time (rather than against tokens sold, which would produce a non-monotone function), the resulting price path exhibits a sinusoidal character under balanced trading conditions, with amplitude and frequency determined by the relative magnitudes of buying and selling activity. Four behavioural regimes are observed: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2400"/>
        <w:gridCol w:w="2600"/>
        <w:gridCol w:w="2360"/>
      </w:tblGrid>
      <w:tr>
        <w:trPr>
          <w:tblHeader/>
        </w:trPr>
        <w:tc>
          <w:tcPr>
            <w:tcW w:type="dxa" w:w="2000"/>
            <w:tcBorders>
              <w:top w:val="single" w:color="CCCCCC" w:sz="4"/>
              <w:left w:val="single" w:color="CCCCCC" w:sz="4"/>
              <w:bottom w:val="single" w:color="CCCCCC" w:sz="4"/>
              <w:right w:val="single" w:color="CCCCCC" w:sz="4"/>
            </w:tcBorders>
            <w:shd w:fill="1A1A1A" w:val="clear"/>
            <w:tcMar>
              <w:top w:type="dxa" w:w="80"/>
              <w:left w:type="dxa" w:w="120"/>
              <w:bottom w:type="dxa" w:w="80"/>
              <w:right w:type="dxa" w:w="120"/>
            </w:tcMar>
          </w:tcPr>
          <w:p>
            <w:pPr>
              <w:spacing w:after="0" w:before="0"/>
            </w:pPr>
            <w:r>
              <w:rPr>
                <w:rFonts w:ascii="Times New Roman" w:cs="Times New Roman" w:eastAsia="Times New Roman" w:hAnsi="Times New Roman"/>
                <w:b/>
                <w:bCs/>
                <w:i w:val="false"/>
                <w:iCs w:val="false"/>
                <w:smallCaps w:val="false"/>
                <w:color w:val="FFFFFF"/>
                <w:sz w:val="19"/>
                <w:szCs w:val="19"/>
              </w:rPr>
              <w:t xml:space="preserve">Regime</w:t>
            </w:r>
          </w:p>
        </w:tc>
        <w:tc>
          <w:tcPr>
            <w:tcW w:type="dxa" w:w="2400"/>
            <w:tcBorders>
              <w:top w:val="single" w:color="CCCCCC" w:sz="4"/>
              <w:left w:val="single" w:color="CCCCCC" w:sz="4"/>
              <w:bottom w:val="single" w:color="CCCCCC" w:sz="4"/>
              <w:right w:val="single" w:color="CCCCCC" w:sz="4"/>
            </w:tcBorders>
            <w:shd w:fill="1A1A1A" w:val="clear"/>
            <w:tcMar>
              <w:top w:type="dxa" w:w="80"/>
              <w:left w:type="dxa" w:w="120"/>
              <w:bottom w:type="dxa" w:w="80"/>
              <w:right w:type="dxa" w:w="120"/>
            </w:tcMar>
          </w:tcPr>
          <w:p>
            <w:pPr>
              <w:spacing w:after="0" w:before="0"/>
            </w:pPr>
            <w:r>
              <w:rPr>
                <w:rFonts w:ascii="Times New Roman" w:cs="Times New Roman" w:eastAsia="Times New Roman" w:hAnsi="Times New Roman"/>
                <w:b/>
                <w:bCs/>
                <w:i w:val="false"/>
                <w:iCs w:val="false"/>
                <w:smallCaps w:val="false"/>
                <w:color w:val="FFFFFF"/>
                <w:sz w:val="19"/>
                <w:szCs w:val="19"/>
              </w:rPr>
              <w:t xml:space="preserve">Condition</w:t>
            </w:r>
          </w:p>
        </w:tc>
        <w:tc>
          <w:tcPr>
            <w:tcW w:type="dxa" w:w="2600"/>
            <w:tcBorders>
              <w:top w:val="single" w:color="CCCCCC" w:sz="4"/>
              <w:left w:val="single" w:color="CCCCCC" w:sz="4"/>
              <w:bottom w:val="single" w:color="CCCCCC" w:sz="4"/>
              <w:right w:val="single" w:color="CCCCCC" w:sz="4"/>
            </w:tcBorders>
            <w:shd w:fill="1A1A1A" w:val="clear"/>
            <w:tcMar>
              <w:top w:type="dxa" w:w="80"/>
              <w:left w:type="dxa" w:w="120"/>
              <w:bottom w:type="dxa" w:w="80"/>
              <w:right w:type="dxa" w:w="120"/>
            </w:tcMar>
          </w:tcPr>
          <w:p>
            <w:pPr>
              <w:spacing w:after="0" w:before="0"/>
            </w:pPr>
            <w:r>
              <w:rPr>
                <w:rFonts w:ascii="Times New Roman" w:cs="Times New Roman" w:eastAsia="Times New Roman" w:hAnsi="Times New Roman"/>
                <w:b/>
                <w:bCs/>
                <w:i w:val="false"/>
                <w:iCs w:val="false"/>
                <w:smallCaps w:val="false"/>
                <w:color w:val="FFFFFF"/>
                <w:sz w:val="19"/>
                <w:szCs w:val="19"/>
              </w:rPr>
              <w:t xml:space="preserve">Price Pattern</w:t>
            </w:r>
          </w:p>
        </w:tc>
        <w:tc>
          <w:tcPr>
            <w:tcW w:type="dxa" w:w="2360"/>
            <w:tcBorders>
              <w:top w:val="single" w:color="CCCCCC" w:sz="4"/>
              <w:left w:val="single" w:color="CCCCCC" w:sz="4"/>
              <w:bottom w:val="single" w:color="CCCCCC" w:sz="4"/>
              <w:right w:val="single" w:color="CCCCCC" w:sz="4"/>
            </w:tcBorders>
            <w:shd w:fill="1A1A1A" w:val="clear"/>
            <w:tcMar>
              <w:top w:type="dxa" w:w="80"/>
              <w:left w:type="dxa" w:w="120"/>
              <w:bottom w:type="dxa" w:w="80"/>
              <w:right w:type="dxa" w:w="120"/>
            </w:tcMar>
          </w:tcPr>
          <w:p>
            <w:pPr>
              <w:spacing w:after="0" w:before="0"/>
            </w:pPr>
            <w:r>
              <w:rPr>
                <w:rFonts w:ascii="Times New Roman" w:cs="Times New Roman" w:eastAsia="Times New Roman" w:hAnsi="Times New Roman"/>
                <w:b/>
                <w:bCs/>
                <w:i w:val="false"/>
                <w:iCs w:val="false"/>
                <w:smallCaps w:val="false"/>
                <w:color w:val="FFFFFF"/>
                <w:sz w:val="19"/>
                <w:szCs w:val="19"/>
              </w:rPr>
              <w:t xml:space="preserve">Graduation Outcome</w:t>
            </w:r>
          </w:p>
        </w:tc>
      </w:tr>
      <w:tr>
        <w:tc>
          <w:tcPr>
            <w:tcW w:type="dxa" w:w="20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Healthy accumulation</w:t>
            </w:r>
          </w:p>
        </w:tc>
        <w:tc>
          <w:tcPr>
            <w:tcW w:type="dxa" w:w="24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Buy volume consistently exceeds sell volume</w:t>
            </w:r>
          </w:p>
        </w:tc>
        <w:tc>
          <w:tcPr>
            <w:tcW w:type="dxa" w:w="26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Upward-drifting sinusoidal oscillation. Each trough higher than previous trough.</w:t>
            </w:r>
          </w:p>
        </w:tc>
        <w:tc>
          <w:tcPr>
            <w:tcW w:type="dxa" w:w="236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Steady graduation progress. High probability of reaching 20M tokens sold.</w:t>
            </w:r>
          </w:p>
        </w:tc>
      </w:tr>
      <w:tr>
        <w:tc>
          <w:tcPr>
            <w:tcW w:type="dxa" w:w="20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Speculator-dominated</w:t>
            </w:r>
          </w:p>
        </w:tc>
        <w:tc>
          <w:tcPr>
            <w:tcW w:type="dxa" w:w="24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Large alternating buys and sells of similar magnitude</w:t>
            </w:r>
          </w:p>
        </w:tc>
        <w:tc>
          <w:tcPr>
            <w:tcW w:type="dxa" w:w="26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High-amplitude sinusoidal with near-zero net drift. Price oscillates dramatically but progresses slowly.</w:t>
            </w:r>
          </w:p>
        </w:tc>
        <w:tc>
          <w:tcPr>
            <w:tcW w:type="dxa" w:w="236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Slow or negligible graduation progress. Genuine holders accumulate as speculators tire.</w:t>
            </w:r>
          </w:p>
        </w:tc>
      </w:tr>
      <w:tr>
        <w:tc>
          <w:tcPr>
            <w:tcW w:type="dxa" w:w="20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Whale dump event</w:t>
            </w:r>
          </w:p>
        </w:tc>
        <w:tc>
          <w:tcPr>
            <w:tcW w:type="dxa" w:w="24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A single large sell dwarfs surrounding activity</w:t>
            </w:r>
          </w:p>
        </w:tc>
        <w:tc>
          <w:tcPr>
            <w:tcW w:type="dxa" w:w="26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Sharp price cliff. Sinusoidal pattern breaks. Recovery is slow and gradual.</w:t>
            </w:r>
          </w:p>
        </w:tc>
        <w:tc>
          <w:tcPr>
            <w:tcW w:type="dxa" w:w="236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Temporary regression in graduation progress. Stability reserve partially absorbs cliff.</w:t>
            </w:r>
          </w:p>
        </w:tc>
      </w:tr>
      <w:tr>
        <w:tc>
          <w:tcPr>
            <w:tcW w:type="dxa" w:w="20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Organic slow build</w:t>
            </w:r>
          </w:p>
        </w:tc>
        <w:tc>
          <w:tcPr>
            <w:tcW w:type="dxa" w:w="24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Small consistent buys, small periodic profit-taking sells</w:t>
            </w:r>
          </w:p>
        </w:tc>
        <w:tc>
          <w:tcPr>
            <w:tcW w:type="dxa" w:w="26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Low-amplitude regular sinusoidal. Slow upward drift over extended period.</w:t>
            </w:r>
          </w:p>
        </w:tc>
        <w:tc>
          <w:tcPr>
            <w:tcW w:type="dxa" w:w="236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Gradual but genuine graduation progress. Characteristic of small loyal communities.</w:t>
            </w:r>
          </w:p>
        </w:tc>
      </w:tr>
    </w:tbl>
    <w:p>
      <w:pPr>
        <w:spacing w:after="200" w:before="40" w:line="276"/>
        <w:jc w:val="center"/>
      </w:pPr>
      <w:r>
        <w:rPr>
          <w:rFonts w:ascii="Times New Roman" w:cs="Times New Roman" w:eastAsia="Times New Roman" w:hAnsi="Times New Roman"/>
          <w:b w:val="false"/>
          <w:bCs w:val="false"/>
          <w:i/>
          <w:iCs/>
          <w:smallCaps w:val="false"/>
          <w:color w:val="666666"/>
          <w:sz w:val="18"/>
          <w:szCs w:val="18"/>
        </w:rPr>
        <w:t xml:space="preserve">Table 6. Price behaviour regimes under different trading conditions.</w:t>
      </w:r>
    </w:p>
    <w:p>
      <w:r>
        <w:br w:type="page"/>
      </w:r>
    </w:p>
    <w:p>
      <w:pPr>
        <w:pStyle w:val="Heading1"/>
        <w:pBdr>
          <w:bottom w:val="single" w:color="1A1A1A" w:sz="6" w:space="6"/>
        </w:pBdr>
        <w:spacing w:after="160" w:before="480"/>
      </w:pPr>
      <w:r>
        <w:rPr>
          <w:rFonts w:ascii="Times New Roman" w:cs="Times New Roman" w:eastAsia="Times New Roman" w:hAnsi="Times New Roman"/>
          <w:b/>
          <w:bCs/>
          <w:i w:val="false"/>
          <w:iCs w:val="false"/>
          <w:smallCaps w:val="false"/>
          <w:color w:val="111111"/>
          <w:sz w:val="28"/>
          <w:szCs w:val="28"/>
        </w:rPr>
        <w:t xml:space="preserve">8.   </w:t>
      </w:r>
      <w:r>
        <w:rPr>
          <w:rFonts w:ascii="Times New Roman" w:cs="Times New Roman" w:eastAsia="Times New Roman" w:hAnsi="Times New Roman"/>
          <w:b/>
          <w:bCs/>
          <w:i w:val="false"/>
          <w:iCs w:val="false"/>
          <w:smallCaps/>
          <w:color w:val="111111"/>
          <w:sz w:val="28"/>
          <w:szCs w:val="28"/>
        </w:rPr>
        <w:t xml:space="preserve">DEX MIGRATION AND LIQUIDITY POOL</w:t>
      </w:r>
    </w:p>
    <w:p>
      <w:pPr>
        <w:pStyle w:val="Heading2"/>
        <w:spacing w:after="100" w:before="320"/>
      </w:pPr>
      <w:r>
        <w:rPr>
          <w:rFonts w:ascii="Times New Roman" w:cs="Times New Roman" w:eastAsia="Times New Roman" w:hAnsi="Times New Roman"/>
          <w:b/>
          <w:bCs/>
          <w:i w:val="false"/>
          <w:iCs w:val="false"/>
          <w:smallCaps w:val="false"/>
          <w:color w:val="111111"/>
          <w:sz w:val="24"/>
          <w:szCs w:val="24"/>
        </w:rPr>
        <w:t xml:space="preserve">8.1  Graduation Trigger</w:t>
      </w:r>
    </w:p>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When the bonding curve state variable S reaches exactly 20,000,000, the DEX Migration program triggers automatically. This trigger is enforced at the smart contract level — no human intervention can delay or prevent it. The migration executes the following sequence atomically within a single Solana transaction, ensuring that no intermediate state can be exploited.</w:t>
      </w:r>
    </w:p>
    <w:p>
      <w:pPr>
        <w:pStyle w:val="Heading2"/>
        <w:spacing w:after="100" w:before="320"/>
      </w:pPr>
      <w:r>
        <w:rPr>
          <w:rFonts w:ascii="Times New Roman" w:cs="Times New Roman" w:eastAsia="Times New Roman" w:hAnsi="Times New Roman"/>
          <w:b/>
          <w:bCs/>
          <w:i w:val="false"/>
          <w:iCs w:val="false"/>
          <w:smallCaps w:val="false"/>
          <w:color w:val="111111"/>
          <w:sz w:val="24"/>
          <w:szCs w:val="24"/>
        </w:rPr>
        <w:t xml:space="preserve">8.2  Liquidity Pool Construction and Price Continuity</w:t>
      </w:r>
    </w:p>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The central technical requirement of DEX migration is price continuity: the initial trading price on the Raydium CPMM pool must exactly equal the bonding curve's graduation price of $0.015. Any deviation creates an immediate arbitrage opportunity that destabilises the transition.</w:t>
      </w:r>
    </w:p>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The Raydium CPMM pool implements the constant-product invariant x × y = k, where x is the SOL quantity and y is the creator token quantity. The initial price is therefore: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8460"/>
        <w:gridCol w:w="900"/>
      </w:tblGrid>
      <w:tr>
        <w:tc>
          <w:tcPr>
            <w:tcW w:type="dxa" w:w="8460"/>
            <w:tcBorders>
              <w:top w:val="single" w:color="CCCCCC" w:sz="4"/>
              <w:left w:val="single" w:color="CCCCCC" w:sz="4"/>
              <w:bottom w:val="single" w:color="CCCCCC" w:sz="4"/>
              <w:right w:val="none" w:color="FFFFFF" w:sz="0"/>
            </w:tcBorders>
            <w:shd w:fill="EFEFEF" w:val="clear"/>
            <w:tcMar>
              <w:top w:type="dxa" w:w="100"/>
              <w:left w:type="dxa" w:w="240"/>
              <w:bottom w:type="dxa" w:w="100"/>
              <w:right w:type="dxa" w:w="120"/>
            </w:tcMar>
          </w:tcPr>
          <w:p>
            <w:pPr>
              <w:spacing w:after="40" w:before="0"/>
            </w:pPr>
            <w:r>
              <w:rPr>
                <w:rFonts w:ascii="Courier New" w:cs="Courier New" w:eastAsia="Courier New" w:hAnsi="Courier New"/>
                <w:b/>
                <w:bCs/>
                <w:color w:val="1A1A1A"/>
                <w:sz w:val="22"/>
                <w:szCs w:val="22"/>
              </w:rPr>
              <w:t xml:space="preserve">P_DEX = SOL_in_pool / Tokens_in_pool = $0.015</w:t>
            </w:r>
          </w:p>
          <w:p>
            <w:pPr>
              <w:spacing w:after="0" w:before="0"/>
            </w:pPr>
            <w:r>
              <w:rPr>
                <w:rFonts w:ascii="Times New Roman" w:cs="Times New Roman" w:eastAsia="Times New Roman" w:hAnsi="Times New Roman"/>
                <w:b w:val="false"/>
                <w:bCs w:val="false"/>
                <w:i/>
                <w:iCs/>
                <w:smallCaps w:val="false"/>
                <w:color w:val="666666"/>
                <w:sz w:val="17"/>
                <w:szCs w:val="17"/>
              </w:rPr>
              <w:t xml:space="preserve">Required equality for zero-arbitrage price continuity at graduation.</w:t>
            </w:r>
          </w:p>
        </w:tc>
        <w:tc>
          <w:tcPr>
            <w:tcW w:type="dxa" w:w="900"/>
            <w:tcBorders>
              <w:top w:val="single" w:color="CCCCCC" w:sz="4"/>
              <w:left w:val="none" w:color="FFFFFF" w:sz="0"/>
              <w:bottom w:val="single" w:color="CCCCCC" w:sz="4"/>
              <w:right w:val="single" w:color="CCCCCC" w:sz="4"/>
            </w:tcBorders>
            <w:shd w:fill="EFEFEF" w:val="clear"/>
            <w:tcMar>
              <w:top w:type="dxa" w:w="100"/>
              <w:left w:type="dxa" w:w="80"/>
              <w:bottom w:type="dxa" w:w="100"/>
              <w:right w:type="dxa" w:w="120"/>
            </w:tcMar>
            <w:vAlign w:val="center"/>
          </w:tcPr>
          <w:p>
            <w:pPr>
              <w:spacing w:after="0" w:before="0"/>
              <w:jc w:val="right"/>
            </w:pPr>
            <w:r>
              <w:rPr>
                <w:rFonts w:ascii="Times New Roman" w:cs="Times New Roman" w:eastAsia="Times New Roman" w:hAnsi="Times New Roman"/>
                <w:b w:val="false"/>
                <w:bCs w:val="false"/>
                <w:i/>
                <w:iCs/>
                <w:smallCaps w:val="false"/>
                <w:color w:val="666666"/>
                <w:sz w:val="19"/>
                <w:szCs w:val="19"/>
              </w:rPr>
              <w:t xml:space="preserve">(6)</w:t>
            </w:r>
          </w:p>
        </w:tc>
      </w:tr>
    </w:tbl>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Solving for the required token quantity given the SOL allocation: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8460"/>
        <w:gridCol w:w="900"/>
      </w:tblGrid>
      <w:tr>
        <w:tc>
          <w:tcPr>
            <w:tcW w:type="dxa" w:w="8460"/>
            <w:tcBorders>
              <w:top w:val="single" w:color="CCCCCC" w:sz="4"/>
              <w:left w:val="single" w:color="CCCCCC" w:sz="4"/>
              <w:bottom w:val="single" w:color="CCCCCC" w:sz="4"/>
              <w:right w:val="none" w:color="FFFFFF" w:sz="0"/>
            </w:tcBorders>
            <w:shd w:fill="EFEFEF" w:val="clear"/>
            <w:tcMar>
              <w:top w:type="dxa" w:w="100"/>
              <w:left w:type="dxa" w:w="240"/>
              <w:bottom w:type="dxa" w:w="100"/>
              <w:right w:type="dxa" w:w="120"/>
            </w:tcMar>
          </w:tcPr>
          <w:p>
            <w:pPr>
              <w:spacing w:after="40" w:before="0"/>
            </w:pPr>
            <w:r>
              <w:rPr>
                <w:rFonts w:ascii="Courier New" w:cs="Courier New" w:eastAsia="Courier New" w:hAnsi="Courier New"/>
                <w:b/>
                <w:bCs/>
                <w:color w:val="1A1A1A"/>
                <w:sz w:val="22"/>
                <w:szCs w:val="22"/>
              </w:rPr>
              <w:t xml:space="preserve">Tokens_required = SOL_in_pool / P_graduation = $160,950 / $0.015 = 10,730,000</w:t>
            </w:r>
          </w:p>
          <w:p>
            <w:pPr>
              <w:spacing w:after="0" w:before="0"/>
            </w:pPr>
            <w:r>
              <w:rPr>
                <w:rFonts w:ascii="Times New Roman" w:cs="Times New Roman" w:eastAsia="Times New Roman" w:hAnsi="Times New Roman"/>
                <w:b w:val="false"/>
                <w:bCs w:val="false"/>
                <w:i/>
                <w:iCs/>
                <w:smallCaps w:val="false"/>
                <w:color w:val="666666"/>
                <w:sz w:val="17"/>
                <w:szCs w:val="17"/>
              </w:rPr>
              <w:t xml:space="preserve">Tokens sourced from creator's 78M reserve. Creator vesting balance post-graduation: 78,000,000 - 10,730,000 = 67,270,000.</w:t>
            </w:r>
          </w:p>
        </w:tc>
        <w:tc>
          <w:tcPr>
            <w:tcW w:type="dxa" w:w="900"/>
            <w:tcBorders>
              <w:top w:val="single" w:color="CCCCCC" w:sz="4"/>
              <w:left w:val="none" w:color="FFFFFF" w:sz="0"/>
              <w:bottom w:val="single" w:color="CCCCCC" w:sz="4"/>
              <w:right w:val="single" w:color="CCCCCC" w:sz="4"/>
            </w:tcBorders>
            <w:shd w:fill="EFEFEF" w:val="clear"/>
            <w:tcMar>
              <w:top w:type="dxa" w:w="100"/>
              <w:left w:type="dxa" w:w="80"/>
              <w:bottom w:type="dxa" w:w="100"/>
              <w:right w:type="dxa" w:w="120"/>
            </w:tcMar>
            <w:vAlign w:val="center"/>
          </w:tcPr>
          <w:p>
            <w:pPr>
              <w:spacing w:after="0" w:before="0"/>
              <w:jc w:val="right"/>
            </w:pPr>
            <w:r>
              <w:rPr>
                <w:rFonts w:ascii="Times New Roman" w:cs="Times New Roman" w:eastAsia="Times New Roman" w:hAnsi="Times New Roman"/>
                <w:b w:val="false"/>
                <w:bCs w:val="false"/>
                <w:i/>
                <w:iCs/>
                <w:smallCaps w:val="false"/>
                <w:color w:val="666666"/>
                <w:sz w:val="19"/>
                <w:szCs w:val="19"/>
              </w:rPr>
              <w:t xml:space="preserve">(7)</w:t>
            </w:r>
          </w:p>
        </w:tc>
      </w:tr>
    </w:tbl>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The AMM invariant at pool initialisation is therefore: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8460"/>
        <w:gridCol w:w="900"/>
      </w:tblGrid>
      <w:tr>
        <w:tc>
          <w:tcPr>
            <w:tcW w:type="dxa" w:w="8460"/>
            <w:tcBorders>
              <w:top w:val="single" w:color="CCCCCC" w:sz="4"/>
              <w:left w:val="single" w:color="CCCCCC" w:sz="4"/>
              <w:bottom w:val="single" w:color="CCCCCC" w:sz="4"/>
              <w:right w:val="none" w:color="FFFFFF" w:sz="0"/>
            </w:tcBorders>
            <w:shd w:fill="EFEFEF" w:val="clear"/>
            <w:tcMar>
              <w:top w:type="dxa" w:w="100"/>
              <w:left w:type="dxa" w:w="240"/>
              <w:bottom w:type="dxa" w:w="100"/>
              <w:right w:type="dxa" w:w="120"/>
            </w:tcMar>
          </w:tcPr>
          <w:p>
            <w:pPr>
              <w:spacing w:after="0" w:before="0"/>
            </w:pPr>
            <w:r>
              <w:rPr>
                <w:rFonts w:ascii="Courier New" w:cs="Courier New" w:eastAsia="Courier New" w:hAnsi="Courier New"/>
                <w:b/>
                <w:bCs/>
                <w:color w:val="1A1A1A"/>
                <w:sz w:val="22"/>
                <w:szCs w:val="22"/>
              </w:rPr>
              <w:t xml:space="preserve">k = 10,730,000 × $160,950 = $1,727,383,500,000</w:t>
            </w:r>
          </w:p>
        </w:tc>
        <w:tc>
          <w:tcPr>
            <w:tcW w:type="dxa" w:w="900"/>
            <w:tcBorders>
              <w:top w:val="single" w:color="CCCCCC" w:sz="4"/>
              <w:left w:val="none" w:color="FFFFFF" w:sz="0"/>
              <w:bottom w:val="single" w:color="CCCCCC" w:sz="4"/>
              <w:right w:val="single" w:color="CCCCCC" w:sz="4"/>
            </w:tcBorders>
            <w:shd w:fill="EFEFEF" w:val="clear"/>
            <w:tcMar>
              <w:top w:type="dxa" w:w="100"/>
              <w:left w:type="dxa" w:w="80"/>
              <w:bottom w:type="dxa" w:w="100"/>
              <w:right w:type="dxa" w:w="120"/>
            </w:tcMar>
            <w:vAlign w:val="center"/>
          </w:tcPr>
          <w:p>
            <w:pPr>
              <w:spacing w:after="0" w:before="0"/>
              <w:jc w:val="right"/>
            </w:pPr>
            <w:r>
              <w:rPr>
                <w:rFonts w:ascii="Times New Roman" w:cs="Times New Roman" w:eastAsia="Times New Roman" w:hAnsi="Times New Roman"/>
                <w:b w:val="false"/>
                <w:bCs w:val="false"/>
                <w:i/>
                <w:iCs/>
                <w:smallCaps w:val="false"/>
                <w:color w:val="666666"/>
                <w:sz w:val="19"/>
                <w:szCs w:val="19"/>
              </w:rPr>
              <w:t xml:space="preserve">(8)</w:t>
            </w:r>
          </w:p>
        </w:tc>
      </w:tr>
    </w:tbl>
    <w:p>
      <w:pPr>
        <w:pStyle w:val="Heading2"/>
        <w:spacing w:after="100" w:before="320"/>
      </w:pPr>
      <w:r>
        <w:rPr>
          <w:rFonts w:ascii="Times New Roman" w:cs="Times New Roman" w:eastAsia="Times New Roman" w:hAnsi="Times New Roman"/>
          <w:b/>
          <w:bCs/>
          <w:i w:val="false"/>
          <w:iCs w:val="false"/>
          <w:smallCaps w:val="false"/>
          <w:color w:val="111111"/>
          <w:sz w:val="24"/>
          <w:szCs w:val="24"/>
        </w:rPr>
        <w:t xml:space="preserve">8.3  Fund Distribution at Migration</w:t>
      </w:r>
    </w:p>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The total bonding curve raise of approximately $185,000 distributes as follows at graduation: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800"/>
        <w:gridCol w:w="1800"/>
        <w:gridCol w:w="4160"/>
      </w:tblGrid>
      <w:tr>
        <w:trPr>
          <w:tblHeader/>
        </w:trPr>
        <w:tc>
          <w:tcPr>
            <w:tcW w:type="dxa" w:w="2600"/>
            <w:tcBorders>
              <w:top w:val="single" w:color="CCCCCC" w:sz="4"/>
              <w:left w:val="single" w:color="CCCCCC" w:sz="4"/>
              <w:bottom w:val="single" w:color="CCCCCC" w:sz="4"/>
              <w:right w:val="single" w:color="CCCCCC" w:sz="4"/>
            </w:tcBorders>
            <w:shd w:fill="1A1A1A" w:val="clear"/>
            <w:tcMar>
              <w:top w:type="dxa" w:w="80"/>
              <w:left w:type="dxa" w:w="120"/>
              <w:bottom w:type="dxa" w:w="80"/>
              <w:right w:type="dxa" w:w="120"/>
            </w:tcMar>
          </w:tcPr>
          <w:p>
            <w:pPr>
              <w:spacing w:after="0" w:before="0"/>
            </w:pPr>
            <w:r>
              <w:rPr>
                <w:rFonts w:ascii="Times New Roman" w:cs="Times New Roman" w:eastAsia="Times New Roman" w:hAnsi="Times New Roman"/>
                <w:b/>
                <w:bCs/>
                <w:i w:val="false"/>
                <w:iCs w:val="false"/>
                <w:smallCaps w:val="false"/>
                <w:color w:val="FFFFFF"/>
                <w:sz w:val="19"/>
                <w:szCs w:val="19"/>
              </w:rPr>
              <w:t xml:space="preserve">Recipient</w:t>
            </w:r>
          </w:p>
        </w:tc>
        <w:tc>
          <w:tcPr>
            <w:tcW w:type="dxa" w:w="800"/>
            <w:tcBorders>
              <w:top w:val="single" w:color="CCCCCC" w:sz="4"/>
              <w:left w:val="single" w:color="CCCCCC" w:sz="4"/>
              <w:bottom w:val="single" w:color="CCCCCC" w:sz="4"/>
              <w:right w:val="single" w:color="CCCCCC" w:sz="4"/>
            </w:tcBorders>
            <w:shd w:fill="1A1A1A" w:val="clear"/>
            <w:tcMar>
              <w:top w:type="dxa" w:w="80"/>
              <w:left w:type="dxa" w:w="120"/>
              <w:bottom w:type="dxa" w:w="80"/>
              <w:right w:type="dxa" w:w="120"/>
            </w:tcMar>
          </w:tcPr>
          <w:p>
            <w:pPr>
              <w:spacing w:after="0" w:before="0"/>
            </w:pPr>
            <w:r>
              <w:rPr>
                <w:rFonts w:ascii="Times New Roman" w:cs="Times New Roman" w:eastAsia="Times New Roman" w:hAnsi="Times New Roman"/>
                <w:b/>
                <w:bCs/>
                <w:i w:val="false"/>
                <w:iCs w:val="false"/>
                <w:smallCaps w:val="false"/>
                <w:color w:val="FFFFFF"/>
                <w:sz w:val="19"/>
                <w:szCs w:val="19"/>
              </w:rPr>
              <w:t xml:space="preserve">Pct.</w:t>
            </w:r>
          </w:p>
        </w:tc>
        <w:tc>
          <w:tcPr>
            <w:tcW w:type="dxa" w:w="1800"/>
            <w:tcBorders>
              <w:top w:val="single" w:color="CCCCCC" w:sz="4"/>
              <w:left w:val="single" w:color="CCCCCC" w:sz="4"/>
              <w:bottom w:val="single" w:color="CCCCCC" w:sz="4"/>
              <w:right w:val="single" w:color="CCCCCC" w:sz="4"/>
            </w:tcBorders>
            <w:shd w:fill="1A1A1A" w:val="clear"/>
            <w:tcMar>
              <w:top w:type="dxa" w:w="80"/>
              <w:left w:type="dxa" w:w="120"/>
              <w:bottom w:type="dxa" w:w="80"/>
              <w:right w:type="dxa" w:w="120"/>
            </w:tcMar>
          </w:tcPr>
          <w:p>
            <w:pPr>
              <w:spacing w:after="0" w:before="0"/>
            </w:pPr>
            <w:r>
              <w:rPr>
                <w:rFonts w:ascii="Times New Roman" w:cs="Times New Roman" w:eastAsia="Times New Roman" w:hAnsi="Times New Roman"/>
                <w:b/>
                <w:bCs/>
                <w:i w:val="false"/>
                <w:iCs w:val="false"/>
                <w:smallCaps w:val="false"/>
                <w:color w:val="FFFFFF"/>
                <w:sz w:val="19"/>
                <w:szCs w:val="19"/>
              </w:rPr>
              <w:t xml:space="preserve">Amount (approx.)</w:t>
            </w:r>
          </w:p>
        </w:tc>
        <w:tc>
          <w:tcPr>
            <w:tcW w:type="dxa" w:w="4160"/>
            <w:tcBorders>
              <w:top w:val="single" w:color="CCCCCC" w:sz="4"/>
              <w:left w:val="single" w:color="CCCCCC" w:sz="4"/>
              <w:bottom w:val="single" w:color="CCCCCC" w:sz="4"/>
              <w:right w:val="single" w:color="CCCCCC" w:sz="4"/>
            </w:tcBorders>
            <w:shd w:fill="1A1A1A" w:val="clear"/>
            <w:tcMar>
              <w:top w:type="dxa" w:w="80"/>
              <w:left w:type="dxa" w:w="120"/>
              <w:bottom w:type="dxa" w:w="80"/>
              <w:right w:type="dxa" w:w="120"/>
            </w:tcMar>
          </w:tcPr>
          <w:p>
            <w:pPr>
              <w:spacing w:after="0" w:before="0"/>
            </w:pPr>
            <w:r>
              <w:rPr>
                <w:rFonts w:ascii="Times New Roman" w:cs="Times New Roman" w:eastAsia="Times New Roman" w:hAnsi="Times New Roman"/>
                <w:b/>
                <w:bCs/>
                <w:i w:val="false"/>
                <w:iCs w:val="false"/>
                <w:smallCaps w:val="false"/>
                <w:color w:val="FFFFFF"/>
                <w:sz w:val="19"/>
                <w:szCs w:val="19"/>
              </w:rPr>
              <w:t xml:space="preserve">Purpose</w:t>
            </w:r>
          </w:p>
        </w:tc>
      </w:tr>
      <w:tr>
        <w:tc>
          <w:tcPr>
            <w:tcW w:type="dxa" w:w="26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Raydium DEX Liquidity Pool (SOL)</w:t>
            </w:r>
          </w:p>
        </w:tc>
        <w:tc>
          <w:tcPr>
            <w:tcW w:type="dxa" w:w="8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87%</w:t>
            </w:r>
          </w:p>
        </w:tc>
        <w:tc>
          <w:tcPr>
            <w:tcW w:type="dxa" w:w="18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$160,950</w:t>
            </w:r>
          </w:p>
        </w:tc>
        <w:tc>
          <w:tcPr>
            <w:tcW w:type="dxa" w:w="416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Seeds the permanent trading pool as the SOL side. Paired with 10,730,000 creator tokens. LP tokens burned immediately.</w:t>
            </w:r>
          </w:p>
        </w:tc>
      </w:tr>
      <w:tr>
        <w:tc>
          <w:tcPr>
            <w:tcW w:type="dxa" w:w="26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Creator Cash Payout</w:t>
            </w:r>
          </w:p>
        </w:tc>
        <w:tc>
          <w:tcPr>
            <w:tcW w:type="dxa" w:w="8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4%</w:t>
            </w:r>
          </w:p>
        </w:tc>
        <w:tc>
          <w:tcPr>
            <w:tcW w:type="dxa" w:w="18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$7,400</w:t>
            </w:r>
          </w:p>
        </w:tc>
        <w:tc>
          <w:tcPr>
            <w:tcW w:type="dxa" w:w="416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Direct SOL transfer to creator wallet. One-time reward for successful community building. Retained 100% by creator.</w:t>
            </w:r>
          </w:p>
        </w:tc>
      </w:tr>
      <w:tr>
        <w:tc>
          <w:tcPr>
            <w:tcW w:type="dxa" w:w="26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Platform Graduation Fee</w:t>
            </w:r>
          </w:p>
        </w:tc>
        <w:tc>
          <w:tcPr>
            <w:tcW w:type="dxa" w:w="8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4%</w:t>
            </w:r>
          </w:p>
        </w:tc>
        <w:tc>
          <w:tcPr>
            <w:tcW w:type="dxa" w:w="18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$7,400</w:t>
            </w:r>
          </w:p>
        </w:tc>
        <w:tc>
          <w:tcPr>
            <w:tcW w:type="dxa" w:w="416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People.market treasury. Covers Raydium pool creation fee (∼0.15 SOL ≈ $22) plus platform revenue.</w:t>
            </w:r>
          </w:p>
        </w:tc>
      </w:tr>
      <w:tr>
        <w:tc>
          <w:tcPr>
            <w:tcW w:type="dxa" w:w="26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Stability Reserve</w:t>
            </w:r>
          </w:p>
        </w:tc>
        <w:tc>
          <w:tcPr>
            <w:tcW w:type="dxa" w:w="8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5%</w:t>
            </w:r>
          </w:p>
        </w:tc>
        <w:tc>
          <w:tcPr>
            <w:tcW w:type="dxa" w:w="18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$9,250</w:t>
            </w:r>
          </w:p>
        </w:tc>
        <w:tc>
          <w:tcPr>
            <w:tcW w:type="dxa" w:w="416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Permanent on-chain SOL fund for automated price defence. Self-refilling from ongoing sell fees.</w:t>
            </w:r>
          </w:p>
        </w:tc>
      </w:tr>
    </w:tbl>
    <w:p>
      <w:pPr>
        <w:spacing w:after="200" w:before="40" w:line="276"/>
        <w:jc w:val="center"/>
      </w:pPr>
      <w:r>
        <w:rPr>
          <w:rFonts w:ascii="Times New Roman" w:cs="Times New Roman" w:eastAsia="Times New Roman" w:hAnsi="Times New Roman"/>
          <w:b w:val="false"/>
          <w:bCs w:val="false"/>
          <w:i/>
          <w:iCs/>
          <w:smallCaps w:val="false"/>
          <w:color w:val="666666"/>
          <w:sz w:val="18"/>
          <w:szCs w:val="18"/>
        </w:rPr>
        <w:t xml:space="preserve">Table 7. Graduation fund distribution at full bonding curve completion (~$185,000 total).</w:t>
      </w:r>
    </w:p>
    <w:p>
      <w:pPr>
        <w:pStyle w:val="Heading2"/>
        <w:spacing w:after="100" w:before="320"/>
      </w:pPr>
      <w:r>
        <w:rPr>
          <w:rFonts w:ascii="Times New Roman" w:cs="Times New Roman" w:eastAsia="Times New Roman" w:hAnsi="Times New Roman"/>
          <w:b/>
          <w:bCs/>
          <w:i w:val="false"/>
          <w:iCs w:val="false"/>
          <w:smallCaps w:val="false"/>
          <w:color w:val="111111"/>
          <w:sz w:val="24"/>
          <w:szCs w:val="24"/>
        </w:rPr>
        <w:t xml:space="preserve">8.4  LP Token Burning</w:t>
      </w:r>
    </w:p>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Immediately upon receiving LP tokens from Raydium's pool creation instruction, the Migration program transfers them to a provably inaccessible wallet address (a public key for which no private key exists). This permanently prevents any party — including the platform, the creator, or any external actor — from draining the liquidity pool. The pool persists and functions as long as the Raydium protocol operates on Solana.</w:t>
      </w:r>
    </w:p>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This mechanism guarantees permanent liquidity for token holders post-graduation. A holder can always exit their position via the Raydium pool, at whatever market-determined price prevails, without risk that the pool will be emptied by a third party.</w:t>
      </w:r>
    </w:p>
    <w:p>
      <w:pPr>
        <w:spacing w:after="120" w:before="40" w:line="276"/>
        <w:ind w:left="720"/>
        <w:jc w:val="both"/>
      </w:pPr>
      <w:r>
        <w:rPr>
          <w:rFonts w:ascii="Times New Roman" w:cs="Times New Roman" w:eastAsia="Times New Roman" w:hAnsi="Times New Roman"/>
          <w:b/>
          <w:bCs/>
          <w:i w:val="false"/>
          <w:iCs w:val="false"/>
          <w:smallCaps w:val="false"/>
          <w:color w:val="111111"/>
          <w:sz w:val="20"/>
          <w:szCs w:val="20"/>
        </w:rPr>
        <w:t xml:space="preserve">Note: </w:t>
      </w:r>
      <w:r>
        <w:rPr>
          <w:rFonts w:ascii="Times New Roman" w:cs="Times New Roman" w:eastAsia="Times New Roman" w:hAnsi="Times New Roman"/>
          <w:b w:val="false"/>
          <w:bCs w:val="false"/>
          <w:i/>
          <w:iCs/>
          <w:smallCaps w:val="false"/>
          <w:color w:val="444444"/>
          <w:sz w:val="20"/>
          <w:szCs w:val="20"/>
        </w:rPr>
        <w:t xml:space="preserve">LP token burning does not fix the price. After LP tokens are burned, the Raydium AMM continues to function normally: buys raise the price, sells lower it, and the constant-product invariant k governs all price changes. Burning only prevents the liquidity pool from being withdrawn by its creator — it does not interfere with normal trading mechanics.</w:t>
      </w:r>
    </w:p>
    <w:p>
      <w:pPr>
        <w:pStyle w:val="Heading2"/>
        <w:spacing w:after="100" w:before="320"/>
      </w:pPr>
      <w:r>
        <w:rPr>
          <w:rFonts w:ascii="Times New Roman" w:cs="Times New Roman" w:eastAsia="Times New Roman" w:hAnsi="Times New Roman"/>
          <w:b/>
          <w:bCs/>
          <w:i w:val="false"/>
          <w:iCs w:val="false"/>
          <w:smallCaps w:val="false"/>
          <w:color w:val="111111"/>
          <w:sz w:val="24"/>
          <w:szCs w:val="24"/>
        </w:rPr>
        <w:t xml:space="preserve">8.5  Post-Migration Trading</w:t>
      </w:r>
    </w:p>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Post-graduation, the creator token trades as a standard Solana SPL token on Raydium. The People.market platform provides the social layer — creator profiles, community features, task marketplace, income distribution — on top of Raydium's trading infrastructure. The token is simultaneously accessible to any Raydium user globally through standard DEX interfaces. People.market charges a 0.25% protocol fee on all trades executed through the platform interface, applied at the application layer.</w:t>
      </w:r>
    </w:p>
    <w:p>
      <w:r>
        <w:br w:type="page"/>
      </w:r>
    </w:p>
    <w:p>
      <w:pPr>
        <w:pStyle w:val="Heading1"/>
        <w:pBdr>
          <w:bottom w:val="single" w:color="1A1A1A" w:sz="6" w:space="6"/>
        </w:pBdr>
        <w:spacing w:after="160" w:before="480"/>
      </w:pPr>
      <w:r>
        <w:rPr>
          <w:rFonts w:ascii="Times New Roman" w:cs="Times New Roman" w:eastAsia="Times New Roman" w:hAnsi="Times New Roman"/>
          <w:b/>
          <w:bCs/>
          <w:i w:val="false"/>
          <w:iCs w:val="false"/>
          <w:smallCaps w:val="false"/>
          <w:color w:val="111111"/>
          <w:sz w:val="28"/>
          <w:szCs w:val="28"/>
        </w:rPr>
        <w:t xml:space="preserve">9.   </w:t>
      </w:r>
      <w:r>
        <w:rPr>
          <w:rFonts w:ascii="Times New Roman" w:cs="Times New Roman" w:eastAsia="Times New Roman" w:hAnsi="Times New Roman"/>
          <w:b/>
          <w:bCs/>
          <w:i w:val="false"/>
          <w:iCs w:val="false"/>
          <w:smallCaps/>
          <w:color w:val="111111"/>
          <w:sz w:val="28"/>
          <w:szCs w:val="28"/>
        </w:rPr>
        <w:t xml:space="preserve">CREATOR TOKEN VESTING</w:t>
      </w:r>
    </w:p>
    <w:p>
      <w:pPr>
        <w:pStyle w:val="Heading2"/>
        <w:spacing w:after="100" w:before="320"/>
      </w:pPr>
      <w:r>
        <w:rPr>
          <w:rFonts w:ascii="Times New Roman" w:cs="Times New Roman" w:eastAsia="Times New Roman" w:hAnsi="Times New Roman"/>
          <w:b/>
          <w:bCs/>
          <w:i w:val="false"/>
          <w:iCs w:val="false"/>
          <w:smallCaps w:val="false"/>
          <w:color w:val="111111"/>
          <w:sz w:val="24"/>
          <w:szCs w:val="24"/>
        </w:rPr>
        <w:t xml:space="preserve">9.1  Design Rationale</w:t>
      </w:r>
    </w:p>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The creator vesting mechanism serves two simultaneous objectives: long-term incentive alignment and community accountability. A creator whose 67,270,000 remaining tokens vest over approximately 41 years has a perpetual financial interest in the success of their community. Simultaneously, the daily on-chain transparency of each vesting claim provides token holders with real-time visibility into creator behaviour, enabling informed hold or sell decisions.</w:t>
      </w:r>
    </w:p>
    <w:p>
      <w:pPr>
        <w:pStyle w:val="Heading2"/>
        <w:spacing w:after="100" w:before="320"/>
      </w:pPr>
      <w:r>
        <w:rPr>
          <w:rFonts w:ascii="Times New Roman" w:cs="Times New Roman" w:eastAsia="Times New Roman" w:hAnsi="Times New Roman"/>
          <w:b/>
          <w:bCs/>
          <w:i w:val="false"/>
          <w:iCs w:val="false"/>
          <w:smallCaps w:val="false"/>
          <w:color w:val="111111"/>
          <w:sz w:val="24"/>
          <w:szCs w:val="24"/>
        </w:rPr>
        <w:t xml:space="preserve">9.2  Vesting Parameters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2600"/>
        <w:gridCol w:w="3960"/>
      </w:tblGrid>
      <w:tr>
        <w:trPr>
          <w:tblHeader/>
        </w:trPr>
        <w:tc>
          <w:tcPr>
            <w:tcW w:type="dxa" w:w="2800"/>
            <w:tcBorders>
              <w:top w:val="single" w:color="CCCCCC" w:sz="4"/>
              <w:left w:val="single" w:color="CCCCCC" w:sz="4"/>
              <w:bottom w:val="single" w:color="CCCCCC" w:sz="4"/>
              <w:right w:val="single" w:color="CCCCCC" w:sz="4"/>
            </w:tcBorders>
            <w:shd w:fill="1A1A1A" w:val="clear"/>
            <w:tcMar>
              <w:top w:type="dxa" w:w="80"/>
              <w:left w:type="dxa" w:w="120"/>
              <w:bottom w:type="dxa" w:w="80"/>
              <w:right w:type="dxa" w:w="120"/>
            </w:tcMar>
          </w:tcPr>
          <w:p>
            <w:pPr>
              <w:spacing w:after="0" w:before="0"/>
            </w:pPr>
            <w:r>
              <w:rPr>
                <w:rFonts w:ascii="Times New Roman" w:cs="Times New Roman" w:eastAsia="Times New Roman" w:hAnsi="Times New Roman"/>
                <w:b/>
                <w:bCs/>
                <w:i w:val="false"/>
                <w:iCs w:val="false"/>
                <w:smallCaps w:val="false"/>
                <w:color w:val="FFFFFF"/>
                <w:sz w:val="19"/>
                <w:szCs w:val="19"/>
              </w:rPr>
              <w:t xml:space="preserve">Parameter</w:t>
            </w:r>
          </w:p>
        </w:tc>
        <w:tc>
          <w:tcPr>
            <w:tcW w:type="dxa" w:w="2600"/>
            <w:tcBorders>
              <w:top w:val="single" w:color="CCCCCC" w:sz="4"/>
              <w:left w:val="single" w:color="CCCCCC" w:sz="4"/>
              <w:bottom w:val="single" w:color="CCCCCC" w:sz="4"/>
              <w:right w:val="single" w:color="CCCCCC" w:sz="4"/>
            </w:tcBorders>
            <w:shd w:fill="1A1A1A" w:val="clear"/>
            <w:tcMar>
              <w:top w:type="dxa" w:w="80"/>
              <w:left w:type="dxa" w:w="120"/>
              <w:bottom w:type="dxa" w:w="80"/>
              <w:right w:type="dxa" w:w="120"/>
            </w:tcMar>
          </w:tcPr>
          <w:p>
            <w:pPr>
              <w:spacing w:after="0" w:before="0"/>
            </w:pPr>
            <w:r>
              <w:rPr>
                <w:rFonts w:ascii="Times New Roman" w:cs="Times New Roman" w:eastAsia="Times New Roman" w:hAnsi="Times New Roman"/>
                <w:b/>
                <w:bCs/>
                <w:i w:val="false"/>
                <w:iCs w:val="false"/>
                <w:smallCaps w:val="false"/>
                <w:color w:val="FFFFFF"/>
                <w:sz w:val="19"/>
                <w:szCs w:val="19"/>
              </w:rPr>
              <w:t xml:space="preserve">Value</w:t>
            </w:r>
          </w:p>
        </w:tc>
        <w:tc>
          <w:tcPr>
            <w:tcW w:type="dxa" w:w="3960"/>
            <w:tcBorders>
              <w:top w:val="single" w:color="CCCCCC" w:sz="4"/>
              <w:left w:val="single" w:color="CCCCCC" w:sz="4"/>
              <w:bottom w:val="single" w:color="CCCCCC" w:sz="4"/>
              <w:right w:val="single" w:color="CCCCCC" w:sz="4"/>
            </w:tcBorders>
            <w:shd w:fill="1A1A1A" w:val="clear"/>
            <w:tcMar>
              <w:top w:type="dxa" w:w="80"/>
              <w:left w:type="dxa" w:w="120"/>
              <w:bottom w:type="dxa" w:w="80"/>
              <w:right w:type="dxa" w:w="120"/>
            </w:tcMar>
          </w:tcPr>
          <w:p>
            <w:pPr>
              <w:spacing w:after="0" w:before="0"/>
            </w:pPr>
            <w:r>
              <w:rPr>
                <w:rFonts w:ascii="Times New Roman" w:cs="Times New Roman" w:eastAsia="Times New Roman" w:hAnsi="Times New Roman"/>
                <w:b/>
                <w:bCs/>
                <w:i w:val="false"/>
                <w:iCs w:val="false"/>
                <w:smallCaps w:val="false"/>
                <w:color w:val="FFFFFF"/>
                <w:sz w:val="19"/>
                <w:szCs w:val="19"/>
              </w:rPr>
              <w:t xml:space="preserve">Derivation</w:t>
            </w:r>
          </w:p>
        </w:tc>
      </w:tr>
      <w:tr>
        <w:tc>
          <w:tcPr>
            <w:tcW w:type="dxa" w:w="28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Vesting base (fixed at graduation)</w:t>
            </w:r>
          </w:p>
        </w:tc>
        <w:tc>
          <w:tcPr>
            <w:tcW w:type="dxa" w:w="26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67,270,000 tokens</w:t>
            </w:r>
          </w:p>
        </w:tc>
        <w:tc>
          <w:tcPr>
            <w:tcW w:type="dxa" w:w="396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78,000,000 (creator reserve) - 10,730,000 (LP contribution). Fixed at graduation.</w:t>
            </w:r>
          </w:p>
        </w:tc>
      </w:tr>
      <w:tr>
        <w:tc>
          <w:tcPr>
            <w:tcW w:type="dxa" w:w="28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Monthly release rate</w:t>
            </w:r>
          </w:p>
        </w:tc>
        <w:tc>
          <w:tcPr>
            <w:tcW w:type="dxa" w:w="26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0.2% of vesting base</w:t>
            </w:r>
          </w:p>
        </w:tc>
        <w:tc>
          <w:tcPr>
            <w:tcW w:type="dxa" w:w="396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0.002 × 67,270,000 = 134,540 tokens per month.</w:t>
            </w:r>
          </w:p>
        </w:tc>
      </w:tr>
      <w:tr>
        <w:tc>
          <w:tcPr>
            <w:tcW w:type="dxa" w:w="28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Daily release (fixed)</w:t>
            </w:r>
          </w:p>
        </w:tc>
        <w:tc>
          <w:tcPr>
            <w:tcW w:type="dxa" w:w="26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4,485 tokens per day</w:t>
            </w:r>
          </w:p>
        </w:tc>
        <w:tc>
          <w:tcPr>
            <w:tcW w:type="dxa" w:w="396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134,540 / 30 = 4,484.67, rounded to 4,485. Fixed amount; does not decay over time.</w:t>
            </w:r>
          </w:p>
        </w:tc>
      </w:tr>
      <w:tr>
        <w:tc>
          <w:tcPr>
            <w:tcW w:type="dxa" w:w="28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Cliff period</w:t>
            </w:r>
          </w:p>
        </w:tc>
        <w:tc>
          <w:tcPr>
            <w:tcW w:type="dxa" w:w="26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None</w:t>
            </w:r>
          </w:p>
        </w:tc>
        <w:tc>
          <w:tcPr>
            <w:tcW w:type="dxa" w:w="396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Vesting begins immediately after DEX graduation.</w:t>
            </w:r>
          </w:p>
        </w:tc>
      </w:tr>
      <w:tr>
        <w:tc>
          <w:tcPr>
            <w:tcW w:type="dxa" w:w="28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Claim mechanism</w:t>
            </w:r>
          </w:p>
        </w:tc>
        <w:tc>
          <w:tcPr>
            <w:tcW w:type="dxa" w:w="26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Manual claim by creator</w:t>
            </w:r>
          </w:p>
        </w:tc>
        <w:tc>
          <w:tcPr>
            <w:tcW w:type="dxa" w:w="396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Creator initiates claim transaction. Tokens transfer to creator's associated token account.</w:t>
            </w:r>
          </w:p>
        </w:tc>
      </w:tr>
      <w:tr>
        <w:tc>
          <w:tcPr>
            <w:tcW w:type="dxa" w:w="28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Missed day policy</w:t>
            </w:r>
          </w:p>
        </w:tc>
        <w:tc>
          <w:tcPr>
            <w:tcW w:type="dxa" w:w="26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Schedule extends +1 day</w:t>
            </w:r>
          </w:p>
        </w:tc>
        <w:tc>
          <w:tcPr>
            <w:tcW w:type="dxa" w:w="396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Tokens are never permanently forfeited. Accumulated releases can be claimed in a single transaction covering multiple days.</w:t>
            </w:r>
          </w:p>
        </w:tc>
      </w:tr>
      <w:tr>
        <w:tc>
          <w:tcPr>
            <w:tcW w:type="dxa" w:w="28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Approximate total duration</w:t>
            </w:r>
          </w:p>
        </w:tc>
        <w:tc>
          <w:tcPr>
            <w:tcW w:type="dxa" w:w="26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∼41 years</w:t>
            </w:r>
          </w:p>
        </w:tc>
        <w:tc>
          <w:tcPr>
            <w:tcW w:type="dxa" w:w="396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67,270,000 / 4,485 / 365 = 41.1 years.</w:t>
            </w:r>
          </w:p>
        </w:tc>
      </w:tr>
    </w:tbl>
    <w:p>
      <w:pPr>
        <w:spacing w:after="200" w:before="40" w:line="276"/>
        <w:jc w:val="center"/>
      </w:pPr>
      <w:r>
        <w:rPr>
          <w:rFonts w:ascii="Times New Roman" w:cs="Times New Roman" w:eastAsia="Times New Roman" w:hAnsi="Times New Roman"/>
          <w:b w:val="false"/>
          <w:bCs w:val="false"/>
          <w:i/>
          <w:iCs/>
          <w:smallCaps w:val="false"/>
          <w:color w:val="666666"/>
          <w:sz w:val="18"/>
          <w:szCs w:val="18"/>
        </w:rPr>
        <w:t xml:space="preserve">Table 8. Creator vesting parameters.</w:t>
      </w:r>
    </w:p>
    <w:p>
      <w:pPr>
        <w:pStyle w:val="Heading2"/>
        <w:spacing w:after="100" w:before="320"/>
      </w:pPr>
      <w:r>
        <w:rPr>
          <w:rFonts w:ascii="Times New Roman" w:cs="Times New Roman" w:eastAsia="Times New Roman" w:hAnsi="Times New Roman"/>
          <w:b/>
          <w:bCs/>
          <w:i w:val="false"/>
          <w:iCs w:val="false"/>
          <w:smallCaps w:val="false"/>
          <w:color w:val="111111"/>
          <w:sz w:val="24"/>
          <w:szCs w:val="24"/>
        </w:rPr>
        <w:t xml:space="preserve">9.3  Dilution Analysis</w:t>
      </w:r>
    </w:p>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The daily vesting release of 4,485 tokens into a circulating supply of 30,730,000 represents a daily dilution of:</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8460"/>
        <w:gridCol w:w="900"/>
      </w:tblGrid>
      <w:tr>
        <w:tc>
          <w:tcPr>
            <w:tcW w:type="dxa" w:w="8460"/>
            <w:tcBorders>
              <w:top w:val="single" w:color="CCCCCC" w:sz="4"/>
              <w:left w:val="single" w:color="CCCCCC" w:sz="4"/>
              <w:bottom w:val="single" w:color="CCCCCC" w:sz="4"/>
              <w:right w:val="none" w:color="FFFFFF" w:sz="0"/>
            </w:tcBorders>
            <w:shd w:fill="EFEFEF" w:val="clear"/>
            <w:tcMar>
              <w:top w:type="dxa" w:w="100"/>
              <w:left w:type="dxa" w:w="240"/>
              <w:bottom w:type="dxa" w:w="100"/>
              <w:right w:type="dxa" w:w="120"/>
            </w:tcMar>
          </w:tcPr>
          <w:p>
            <w:pPr>
              <w:spacing w:after="40" w:before="0"/>
            </w:pPr>
            <w:r>
              <w:rPr>
                <w:rFonts w:ascii="Courier New" w:cs="Courier New" w:eastAsia="Courier New" w:hAnsi="Courier New"/>
                <w:b/>
                <w:bCs/>
                <w:color w:val="1A1A1A"/>
                <w:sz w:val="22"/>
                <w:szCs w:val="22"/>
              </w:rPr>
              <w:t xml:space="preserve">Dilution_daily = 4,485 / 30,730,000 = 0.01459% per day</w:t>
            </w:r>
          </w:p>
          <w:p>
            <w:pPr>
              <w:spacing w:after="0" w:before="0"/>
            </w:pPr>
            <w:r>
              <w:rPr>
                <w:rFonts w:ascii="Times New Roman" w:cs="Times New Roman" w:eastAsia="Times New Roman" w:hAnsi="Times New Roman"/>
                <w:b w:val="false"/>
                <w:bCs w:val="false"/>
                <w:i/>
                <w:iCs/>
                <w:smallCaps w:val="false"/>
                <w:color w:val="666666"/>
                <w:sz w:val="17"/>
                <w:szCs w:val="17"/>
              </w:rPr>
              <w:t xml:space="preserve">Equivalent to approximately 5.33% annualised dilution from creator vesting releases.</w:t>
            </w:r>
          </w:p>
        </w:tc>
        <w:tc>
          <w:tcPr>
            <w:tcW w:type="dxa" w:w="900"/>
            <w:tcBorders>
              <w:top w:val="single" w:color="CCCCCC" w:sz="4"/>
              <w:left w:val="none" w:color="FFFFFF" w:sz="0"/>
              <w:bottom w:val="single" w:color="CCCCCC" w:sz="4"/>
              <w:right w:val="single" w:color="CCCCCC" w:sz="4"/>
            </w:tcBorders>
            <w:shd w:fill="EFEFEF" w:val="clear"/>
            <w:tcMar>
              <w:top w:type="dxa" w:w="100"/>
              <w:left w:type="dxa" w:w="80"/>
              <w:bottom w:type="dxa" w:w="100"/>
              <w:right w:type="dxa" w:w="120"/>
            </w:tcMar>
            <w:vAlign w:val="center"/>
          </w:tcPr>
          <w:p>
            <w:pPr>
              <w:spacing w:after="0" w:before="0"/>
              <w:jc w:val="right"/>
            </w:pPr>
            <w:r>
              <w:rPr>
                <w:rFonts w:ascii="Times New Roman" w:cs="Times New Roman" w:eastAsia="Times New Roman" w:hAnsi="Times New Roman"/>
                <w:b w:val="false"/>
                <w:bCs w:val="false"/>
                <w:i/>
                <w:iCs/>
                <w:smallCaps w:val="false"/>
                <w:color w:val="666666"/>
                <w:sz w:val="19"/>
                <w:szCs w:val="19"/>
              </w:rPr>
              <w:t xml:space="preserve">(9)</w:t>
            </w:r>
          </w:p>
        </w:tc>
      </w:tr>
    </w:tbl>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This level of dilution is substantially lower than the trading-driven price volatility that will dominate price discovery in practice. The FDV/Market Cap ratio at graduation (approximately 3.26×) is therefore not indicative of imminent dilutionary pressure but rather reflects the structural long-term lock-up of the creator's reserve.</w:t>
      </w:r>
    </w:p>
    <w:p>
      <w:pPr>
        <w:pStyle w:val="Heading2"/>
        <w:spacing w:after="100" w:before="320"/>
      </w:pPr>
      <w:r>
        <w:rPr>
          <w:rFonts w:ascii="Times New Roman" w:cs="Times New Roman" w:eastAsia="Times New Roman" w:hAnsi="Times New Roman"/>
          <w:b/>
          <w:bCs/>
          <w:i w:val="false"/>
          <w:iCs w:val="false"/>
          <w:smallCaps w:val="false"/>
          <w:color w:val="111111"/>
          <w:sz w:val="24"/>
          <w:szCs w:val="24"/>
        </w:rPr>
        <w:t xml:space="preserve">9.4  Transparency Mechanism</w:t>
      </w:r>
    </w:p>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Every creator vesting claim generates an on-chain transaction verifiable on Solscan. People.market indexes these transactions and delivers push notifications to all token holders at the time of each claim. The notification includes the transaction hash, the quantity claimed, the current token price, and the recipient's current holding value. This creates a real-time accountability layer that has no precedent in SocialFi.</w:t>
      </w:r>
    </w:p>
    <w:p>
      <w:r>
        <w:br w:type="page"/>
      </w:r>
    </w:p>
    <w:p>
      <w:pPr>
        <w:pStyle w:val="Heading1"/>
        <w:pBdr>
          <w:bottom w:val="single" w:color="1A1A1A" w:sz="6" w:space="6"/>
        </w:pBdr>
        <w:spacing w:after="160" w:before="480"/>
      </w:pPr>
      <w:r>
        <w:rPr>
          <w:rFonts w:ascii="Times New Roman" w:cs="Times New Roman" w:eastAsia="Times New Roman" w:hAnsi="Times New Roman"/>
          <w:b/>
          <w:bCs/>
          <w:i w:val="false"/>
          <w:iCs w:val="false"/>
          <w:smallCaps w:val="false"/>
          <w:color w:val="111111"/>
          <w:sz w:val="28"/>
          <w:szCs w:val="28"/>
        </w:rPr>
        <w:t xml:space="preserve">10.   </w:t>
      </w:r>
      <w:r>
        <w:rPr>
          <w:rFonts w:ascii="Times New Roman" w:cs="Times New Roman" w:eastAsia="Times New Roman" w:hAnsi="Times New Roman"/>
          <w:b/>
          <w:bCs/>
          <w:i w:val="false"/>
          <w:iCs w:val="false"/>
          <w:smallCaps/>
          <w:color w:val="111111"/>
          <w:sz w:val="28"/>
          <w:szCs w:val="28"/>
        </w:rPr>
        <w:t xml:space="preserve">STABILITY RESERVE</w:t>
      </w:r>
    </w:p>
    <w:p>
      <w:pPr>
        <w:pStyle w:val="Heading2"/>
        <w:spacing w:after="100" w:before="320"/>
      </w:pPr>
      <w:r>
        <w:rPr>
          <w:rFonts w:ascii="Times New Roman" w:cs="Times New Roman" w:eastAsia="Times New Roman" w:hAnsi="Times New Roman"/>
          <w:b/>
          <w:bCs/>
          <w:i w:val="false"/>
          <w:iCs w:val="false"/>
          <w:smallCaps w:val="false"/>
          <w:color w:val="111111"/>
          <w:sz w:val="24"/>
          <w:szCs w:val="24"/>
        </w:rPr>
        <w:t xml:space="preserve">10.1  Design</w:t>
      </w:r>
    </w:p>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The stability reserve is a permanent on-chain program account holding SOL. It is seeded at graduation with 5% of the bonding curve raise (~$9,250) and continuously refilled from 0.125% of every bonding curve sell fee. Unlike circuit breakers that halt trading, the stability reserve defends price through standard market purchases — it participates in the market rather than interrupting it.</w:t>
      </w:r>
    </w:p>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All stability reserve operations are fully automated and executed by the Stability Reserve smart contract program. The platform cannot redirect, pause, or modify reserve operations after deployment. The reserve reads Raydium pool state directly from on-chain Solana accounts — no external oracle dependency for monitoring.</w:t>
      </w:r>
    </w:p>
    <w:p>
      <w:pPr>
        <w:pStyle w:val="Heading2"/>
        <w:spacing w:after="100" w:before="320"/>
      </w:pPr>
      <w:r>
        <w:rPr>
          <w:rFonts w:ascii="Times New Roman" w:cs="Times New Roman" w:eastAsia="Times New Roman" w:hAnsi="Times New Roman"/>
          <w:b/>
          <w:bCs/>
          <w:i w:val="false"/>
          <w:iCs w:val="false"/>
          <w:smallCaps w:val="false"/>
          <w:color w:val="111111"/>
          <w:sz w:val="24"/>
          <w:szCs w:val="24"/>
        </w:rPr>
        <w:t xml:space="preserve">10.2  Three-Tier Intervention System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00"/>
        <w:gridCol w:w="2800"/>
        <w:gridCol w:w="2400"/>
        <w:gridCol w:w="2560"/>
      </w:tblGrid>
      <w:tr>
        <w:trPr>
          <w:tblHeader/>
        </w:trPr>
        <w:tc>
          <w:tcPr>
            <w:tcW w:type="dxa" w:w="1600"/>
            <w:tcBorders>
              <w:top w:val="single" w:color="CCCCCC" w:sz="4"/>
              <w:left w:val="single" w:color="CCCCCC" w:sz="4"/>
              <w:bottom w:val="single" w:color="CCCCCC" w:sz="4"/>
              <w:right w:val="single" w:color="CCCCCC" w:sz="4"/>
            </w:tcBorders>
            <w:shd w:fill="1A1A1A" w:val="clear"/>
            <w:tcMar>
              <w:top w:type="dxa" w:w="80"/>
              <w:left w:type="dxa" w:w="120"/>
              <w:bottom w:type="dxa" w:w="80"/>
              <w:right w:type="dxa" w:w="120"/>
            </w:tcMar>
          </w:tcPr>
          <w:p>
            <w:pPr>
              <w:spacing w:after="0" w:before="0"/>
            </w:pPr>
            <w:r>
              <w:rPr>
                <w:rFonts w:ascii="Times New Roman" w:cs="Times New Roman" w:eastAsia="Times New Roman" w:hAnsi="Times New Roman"/>
                <w:b/>
                <w:bCs/>
                <w:i w:val="false"/>
                <w:iCs w:val="false"/>
                <w:smallCaps w:val="false"/>
                <w:color w:val="FFFFFF"/>
                <w:sz w:val="19"/>
                <w:szCs w:val="19"/>
              </w:rPr>
              <w:t xml:space="preserve">Tier</w:t>
            </w:r>
          </w:p>
        </w:tc>
        <w:tc>
          <w:tcPr>
            <w:tcW w:type="dxa" w:w="2800"/>
            <w:tcBorders>
              <w:top w:val="single" w:color="CCCCCC" w:sz="4"/>
              <w:left w:val="single" w:color="CCCCCC" w:sz="4"/>
              <w:bottom w:val="single" w:color="CCCCCC" w:sz="4"/>
              <w:right w:val="single" w:color="CCCCCC" w:sz="4"/>
            </w:tcBorders>
            <w:shd w:fill="1A1A1A" w:val="clear"/>
            <w:tcMar>
              <w:top w:type="dxa" w:w="80"/>
              <w:left w:type="dxa" w:w="120"/>
              <w:bottom w:type="dxa" w:w="80"/>
              <w:right w:type="dxa" w:w="120"/>
            </w:tcMar>
          </w:tcPr>
          <w:p>
            <w:pPr>
              <w:spacing w:after="0" w:before="0"/>
            </w:pPr>
            <w:r>
              <w:rPr>
                <w:rFonts w:ascii="Times New Roman" w:cs="Times New Roman" w:eastAsia="Times New Roman" w:hAnsi="Times New Roman"/>
                <w:b/>
                <w:bCs/>
                <w:i w:val="false"/>
                <w:iCs w:val="false"/>
                <w:smallCaps w:val="false"/>
                <w:color w:val="FFFFFF"/>
                <w:sz w:val="19"/>
                <w:szCs w:val="19"/>
              </w:rPr>
              <w:t xml:space="preserve">Trigger Condition</w:t>
            </w:r>
          </w:p>
        </w:tc>
        <w:tc>
          <w:tcPr>
            <w:tcW w:type="dxa" w:w="2400"/>
            <w:tcBorders>
              <w:top w:val="single" w:color="CCCCCC" w:sz="4"/>
              <w:left w:val="single" w:color="CCCCCC" w:sz="4"/>
              <w:bottom w:val="single" w:color="CCCCCC" w:sz="4"/>
              <w:right w:val="single" w:color="CCCCCC" w:sz="4"/>
            </w:tcBorders>
            <w:shd w:fill="1A1A1A" w:val="clear"/>
            <w:tcMar>
              <w:top w:type="dxa" w:w="80"/>
              <w:left w:type="dxa" w:w="120"/>
              <w:bottom w:type="dxa" w:w="80"/>
              <w:right w:type="dxa" w:w="120"/>
            </w:tcMar>
          </w:tcPr>
          <w:p>
            <w:pPr>
              <w:spacing w:after="0" w:before="0"/>
            </w:pPr>
            <w:r>
              <w:rPr>
                <w:rFonts w:ascii="Times New Roman" w:cs="Times New Roman" w:eastAsia="Times New Roman" w:hAnsi="Times New Roman"/>
                <w:b/>
                <w:bCs/>
                <w:i w:val="false"/>
                <w:iCs w:val="false"/>
                <w:smallCaps w:val="false"/>
                <w:color w:val="FFFFFF"/>
                <w:sz w:val="19"/>
                <w:szCs w:val="19"/>
              </w:rPr>
              <w:t xml:space="preserve">Maximum Spend</w:t>
            </w:r>
          </w:p>
        </w:tc>
        <w:tc>
          <w:tcPr>
            <w:tcW w:type="dxa" w:w="2560"/>
            <w:tcBorders>
              <w:top w:val="single" w:color="CCCCCC" w:sz="4"/>
              <w:left w:val="single" w:color="CCCCCC" w:sz="4"/>
              <w:bottom w:val="single" w:color="CCCCCC" w:sz="4"/>
              <w:right w:val="single" w:color="CCCCCC" w:sz="4"/>
            </w:tcBorders>
            <w:shd w:fill="1A1A1A" w:val="clear"/>
            <w:tcMar>
              <w:top w:type="dxa" w:w="80"/>
              <w:left w:type="dxa" w:w="120"/>
              <w:bottom w:type="dxa" w:w="80"/>
              <w:right w:type="dxa" w:w="120"/>
            </w:tcMar>
          </w:tcPr>
          <w:p>
            <w:pPr>
              <w:spacing w:after="0" w:before="0"/>
            </w:pPr>
            <w:r>
              <w:rPr>
                <w:rFonts w:ascii="Times New Roman" w:cs="Times New Roman" w:eastAsia="Times New Roman" w:hAnsi="Times New Roman"/>
                <w:b/>
                <w:bCs/>
                <w:i w:val="false"/>
                <w:iCs w:val="false"/>
                <w:smallCaps w:val="false"/>
                <w:color w:val="FFFFFF"/>
                <w:sz w:val="19"/>
                <w:szCs w:val="19"/>
              </w:rPr>
              <w:t xml:space="preserve">Cooldown After Activation</w:t>
            </w:r>
          </w:p>
        </w:tc>
      </w:tr>
      <w:tr>
        <w:tc>
          <w:tcPr>
            <w:tcW w:type="dxa" w:w="16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1 — Minor</w:t>
            </w:r>
          </w:p>
        </w:tc>
        <w:tc>
          <w:tcPr>
            <w:tcW w:type="dxa" w:w="28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Price declines ≥15% within any 6-hour window</w:t>
            </w:r>
          </w:p>
        </w:tc>
        <w:tc>
          <w:tcPr>
            <w:tcW w:type="dxa" w:w="24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10% of current reserve balance</w:t>
            </w:r>
          </w:p>
        </w:tc>
        <w:tc>
          <w:tcPr>
            <w:tcW w:type="dxa" w:w="256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24 hours. No tier may trigger during cooldown.</w:t>
            </w:r>
          </w:p>
        </w:tc>
      </w:tr>
      <w:tr>
        <w:tc>
          <w:tcPr>
            <w:tcW w:type="dxa" w:w="16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2 — Moderate</w:t>
            </w:r>
          </w:p>
        </w:tc>
        <w:tc>
          <w:tcPr>
            <w:tcW w:type="dxa" w:w="28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Price declines ≥25% within any 4-hour window</w:t>
            </w:r>
          </w:p>
        </w:tc>
        <w:tc>
          <w:tcPr>
            <w:tcW w:type="dxa" w:w="24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25% of current reserve balance</w:t>
            </w:r>
          </w:p>
        </w:tc>
        <w:tc>
          <w:tcPr>
            <w:tcW w:type="dxa" w:w="256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48 hours. No tier may trigger during cooldown.</w:t>
            </w:r>
          </w:p>
        </w:tc>
      </w:tr>
      <w:tr>
        <w:tc>
          <w:tcPr>
            <w:tcW w:type="dxa" w:w="16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3 — Major</w:t>
            </w:r>
          </w:p>
        </w:tc>
        <w:tc>
          <w:tcPr>
            <w:tcW w:type="dxa" w:w="28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Price declines ≥40% within any 2-hour window</w:t>
            </w:r>
          </w:p>
        </w:tc>
        <w:tc>
          <w:tcPr>
            <w:tcW w:type="dxa" w:w="24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50% of current reserve balance</w:t>
            </w:r>
          </w:p>
        </w:tc>
        <w:tc>
          <w:tcPr>
            <w:tcW w:type="dxa" w:w="256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7 days. No tier may trigger during cooldown.</w:t>
            </w:r>
          </w:p>
        </w:tc>
      </w:tr>
    </w:tbl>
    <w:p>
      <w:pPr>
        <w:spacing w:after="200" w:before="40" w:line="276"/>
        <w:jc w:val="center"/>
      </w:pPr>
      <w:r>
        <w:rPr>
          <w:rFonts w:ascii="Times New Roman" w:cs="Times New Roman" w:eastAsia="Times New Roman" w:hAnsi="Times New Roman"/>
          <w:b w:val="false"/>
          <w:bCs w:val="false"/>
          <w:i/>
          <w:iCs/>
          <w:smallCaps w:val="false"/>
          <w:color w:val="666666"/>
          <w:sz w:val="18"/>
          <w:szCs w:val="18"/>
        </w:rPr>
        <w:t xml:space="preserve">Table 9. Stability reserve three-tier intervention system.</w:t>
      </w:r>
    </w:p>
    <w:p>
      <w:pPr>
        <w:pStyle w:val="Heading2"/>
        <w:spacing w:after="100" w:before="320"/>
      </w:pPr>
      <w:r>
        <w:rPr>
          <w:rFonts w:ascii="Times New Roman" w:cs="Times New Roman" w:eastAsia="Times New Roman" w:hAnsi="Times New Roman"/>
          <w:b/>
          <w:bCs/>
          <w:i w:val="false"/>
          <w:iCs w:val="false"/>
          <w:smallCaps w:val="false"/>
          <w:color w:val="111111"/>
          <w:sz w:val="24"/>
          <w:szCs w:val="24"/>
        </w:rPr>
        <w:t xml:space="preserve">10.3  Constraints and Limits</w:t>
      </w:r>
    </w:p>
    <w:p>
      <w:pPr>
        <w:pStyle w:val="ListParagraph"/>
        <w:numPr>
          <w:ilvl w:val="0"/>
          <w:numId w:val="2"/>
        </w:numPr>
        <w:spacing w:after="80" w:before="40"/>
      </w:pPr>
      <w:r>
        <w:rPr>
          <w:rFonts w:ascii="Times New Roman" w:cs="Times New Roman" w:eastAsia="Times New Roman" w:hAnsi="Times New Roman"/>
          <w:b w:val="false"/>
          <w:bCs w:val="false"/>
          <w:i w:val="false"/>
          <w:iCs w:val="false"/>
          <w:smallCaps w:val="false"/>
          <w:color w:val="111111"/>
          <w:sz w:val="22"/>
          <w:szCs w:val="22"/>
        </w:rPr>
        <w:t xml:space="preserve">Hard floor. The reserve never spends below $500 SOL equivalent. A minimum defensive capacity is always maintained.</w:t>
      </w:r>
    </w:p>
    <w:p>
      <w:pPr>
        <w:pStyle w:val="ListParagraph"/>
        <w:numPr>
          <w:ilvl w:val="0"/>
          <w:numId w:val="2"/>
        </w:numPr>
        <w:spacing w:after="80" w:before="40"/>
      </w:pPr>
      <w:r>
        <w:rPr>
          <w:rFonts w:ascii="Times New Roman" w:cs="Times New Roman" w:eastAsia="Times New Roman" w:hAnsi="Times New Roman"/>
          <w:b w:val="false"/>
          <w:bCs w:val="false"/>
          <w:i w:val="false"/>
          <w:iCs w:val="false"/>
          <w:smallCaps w:val="false"/>
          <w:color w:val="111111"/>
          <w:sz w:val="22"/>
          <w:szCs w:val="22"/>
        </w:rPr>
        <w:t xml:space="preserve">Annual spend cap. The reserve cannot spend more than 50% of its all-time cumulative funding in any single calendar year. This prevents sustained adversarial drain campaigns.</w:t>
      </w:r>
    </w:p>
    <w:p>
      <w:pPr>
        <w:pStyle w:val="ListParagraph"/>
        <w:numPr>
          <w:ilvl w:val="0"/>
          <w:numId w:val="2"/>
        </w:numPr>
        <w:spacing w:after="80" w:before="40"/>
      </w:pPr>
      <w:r>
        <w:rPr>
          <w:rFonts w:ascii="Times New Roman" w:cs="Times New Roman" w:eastAsia="Times New Roman" w:hAnsi="Times New Roman"/>
          <w:b w:val="false"/>
          <w:bCs w:val="false"/>
          <w:i w:val="false"/>
          <w:iCs w:val="false"/>
          <w:smallCaps w:val="false"/>
          <w:color w:val="111111"/>
          <w:sz w:val="22"/>
          <w:szCs w:val="22"/>
        </w:rPr>
        <w:t xml:space="preserve">Deflationary effect. Creator tokens purchased by the reserve are burned permanently, reducing circulating supply and providing a slight deflationary benefit to all remaining holders.</w:t>
      </w:r>
    </w:p>
    <w:p>
      <w:pPr>
        <w:pStyle w:val="ListParagraph"/>
        <w:numPr>
          <w:ilvl w:val="0"/>
          <w:numId w:val="2"/>
        </w:numPr>
        <w:spacing w:after="80" w:before="40"/>
      </w:pPr>
      <w:r>
        <w:rPr>
          <w:rFonts w:ascii="Times New Roman" w:cs="Times New Roman" w:eastAsia="Times New Roman" w:hAnsi="Times New Roman"/>
          <w:b w:val="false"/>
          <w:bCs w:val="false"/>
          <w:i w:val="false"/>
          <w:iCs w:val="false"/>
          <w:smallCaps w:val="false"/>
          <w:color w:val="111111"/>
          <w:sz w:val="22"/>
          <w:szCs w:val="22"/>
        </w:rPr>
        <w:t xml:space="preserve">Self-refilling. The 0.125% sell fee contribution means active tokens continuously replenish the reserve from trading activity, making the reserve stronger as trading volume increases.</w:t>
      </w:r>
    </w:p>
    <w:p>
      <w:pPr>
        <w:spacing w:after="120" w:before="40" w:line="276"/>
        <w:ind w:left="720"/>
        <w:jc w:val="both"/>
      </w:pPr>
      <w:r>
        <w:rPr>
          <w:rFonts w:ascii="Times New Roman" w:cs="Times New Roman" w:eastAsia="Times New Roman" w:hAnsi="Times New Roman"/>
          <w:b/>
          <w:bCs/>
          <w:i w:val="false"/>
          <w:iCs w:val="false"/>
          <w:smallCaps w:val="false"/>
          <w:color w:val="111111"/>
          <w:sz w:val="20"/>
          <w:szCs w:val="20"/>
        </w:rPr>
        <w:t xml:space="preserve">Note: </w:t>
      </w:r>
      <w:r>
        <w:rPr>
          <w:rFonts w:ascii="Times New Roman" w:cs="Times New Roman" w:eastAsia="Times New Roman" w:hAnsi="Times New Roman"/>
          <w:b w:val="false"/>
          <w:bCs w:val="false"/>
          <w:i/>
          <w:iCs/>
          <w:smallCaps w:val="false"/>
          <w:color w:val="444444"/>
          <w:sz w:val="20"/>
          <w:szCs w:val="20"/>
        </w:rPr>
        <w:t xml:space="preserve">The stability reserve is designed to smooth panic-induced price cascades, not to maintain artificial price floors. Against sustained, genuine, organic selling pressure driven by deteriorating creator fundamentals, the reserve will be consumed and price will find its natural level. This is the correct behaviour.</w:t>
      </w:r>
    </w:p>
    <w:p>
      <w:r>
        <w:br w:type="page"/>
      </w:r>
    </w:p>
    <w:p>
      <w:pPr>
        <w:pStyle w:val="Heading1"/>
        <w:pBdr>
          <w:bottom w:val="single" w:color="1A1A1A" w:sz="6" w:space="6"/>
        </w:pBdr>
        <w:spacing w:after="160" w:before="480"/>
      </w:pPr>
      <w:r>
        <w:rPr>
          <w:rFonts w:ascii="Times New Roman" w:cs="Times New Roman" w:eastAsia="Times New Roman" w:hAnsi="Times New Roman"/>
          <w:b/>
          <w:bCs/>
          <w:i w:val="false"/>
          <w:iCs w:val="false"/>
          <w:smallCaps w:val="false"/>
          <w:color w:val="111111"/>
          <w:sz w:val="28"/>
          <w:szCs w:val="28"/>
        </w:rPr>
        <w:t xml:space="preserve">11.   </w:t>
      </w:r>
      <w:r>
        <w:rPr>
          <w:rFonts w:ascii="Times New Roman" w:cs="Times New Roman" w:eastAsia="Times New Roman" w:hAnsi="Times New Roman"/>
          <w:b/>
          <w:bCs/>
          <w:i w:val="false"/>
          <w:iCs w:val="false"/>
          <w:smallCaps/>
          <w:color w:val="111111"/>
          <w:sz w:val="28"/>
          <w:szCs w:val="28"/>
        </w:rPr>
        <w:t xml:space="preserve">FEE STRUCTURE</w:t>
      </w:r>
    </w:p>
    <w:p>
      <w:pPr>
        <w:pStyle w:val="Heading2"/>
        <w:spacing w:after="100" w:before="320"/>
      </w:pPr>
      <w:r>
        <w:rPr>
          <w:rFonts w:ascii="Times New Roman" w:cs="Times New Roman" w:eastAsia="Times New Roman" w:hAnsi="Times New Roman"/>
          <w:b/>
          <w:bCs/>
          <w:i w:val="false"/>
          <w:iCs w:val="false"/>
          <w:smallCaps w:val="false"/>
          <w:color w:val="111111"/>
          <w:sz w:val="24"/>
          <w:szCs w:val="24"/>
        </w:rPr>
        <w:t xml:space="preserve">11.1  Bonding Curve Trading Fees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1400"/>
        <w:gridCol w:w="1800"/>
        <w:gridCol w:w="1800"/>
        <w:gridCol w:w="1760"/>
      </w:tblGrid>
      <w:tr>
        <w:trPr>
          <w:tblHeader/>
        </w:trPr>
        <w:tc>
          <w:tcPr>
            <w:tcW w:type="dxa" w:w="2600"/>
            <w:tcBorders>
              <w:top w:val="single" w:color="CCCCCC" w:sz="4"/>
              <w:left w:val="single" w:color="CCCCCC" w:sz="4"/>
              <w:bottom w:val="single" w:color="CCCCCC" w:sz="4"/>
              <w:right w:val="single" w:color="CCCCCC" w:sz="4"/>
            </w:tcBorders>
            <w:shd w:fill="1A1A1A" w:val="clear"/>
            <w:tcMar>
              <w:top w:type="dxa" w:w="80"/>
              <w:left w:type="dxa" w:w="120"/>
              <w:bottom w:type="dxa" w:w="80"/>
              <w:right w:type="dxa" w:w="120"/>
            </w:tcMar>
          </w:tcPr>
          <w:p>
            <w:pPr>
              <w:spacing w:after="0" w:before="0"/>
            </w:pPr>
            <w:r>
              <w:rPr>
                <w:rFonts w:ascii="Times New Roman" w:cs="Times New Roman" w:eastAsia="Times New Roman" w:hAnsi="Times New Roman"/>
                <w:b/>
                <w:bCs/>
                <w:i w:val="false"/>
                <w:iCs w:val="false"/>
                <w:smallCaps w:val="false"/>
                <w:color w:val="FFFFFF"/>
                <w:sz w:val="19"/>
                <w:szCs w:val="19"/>
              </w:rPr>
              <w:t xml:space="preserve">Action</w:t>
            </w:r>
          </w:p>
        </w:tc>
        <w:tc>
          <w:tcPr>
            <w:tcW w:type="dxa" w:w="1400"/>
            <w:tcBorders>
              <w:top w:val="single" w:color="CCCCCC" w:sz="4"/>
              <w:left w:val="single" w:color="CCCCCC" w:sz="4"/>
              <w:bottom w:val="single" w:color="CCCCCC" w:sz="4"/>
              <w:right w:val="single" w:color="CCCCCC" w:sz="4"/>
            </w:tcBorders>
            <w:shd w:fill="1A1A1A" w:val="clear"/>
            <w:tcMar>
              <w:top w:type="dxa" w:w="80"/>
              <w:left w:type="dxa" w:w="120"/>
              <w:bottom w:type="dxa" w:w="80"/>
              <w:right w:type="dxa" w:w="120"/>
            </w:tcMar>
          </w:tcPr>
          <w:p>
            <w:pPr>
              <w:spacing w:after="0" w:before="0"/>
            </w:pPr>
            <w:r>
              <w:rPr>
                <w:rFonts w:ascii="Times New Roman" w:cs="Times New Roman" w:eastAsia="Times New Roman" w:hAnsi="Times New Roman"/>
                <w:b/>
                <w:bCs/>
                <w:i w:val="false"/>
                <w:iCs w:val="false"/>
                <w:smallCaps w:val="false"/>
                <w:color w:val="FFFFFF"/>
                <w:sz w:val="19"/>
                <w:szCs w:val="19"/>
              </w:rPr>
              <w:t xml:space="preserve">Total Fee</w:t>
            </w:r>
          </w:p>
        </w:tc>
        <w:tc>
          <w:tcPr>
            <w:tcW w:type="dxa" w:w="1800"/>
            <w:tcBorders>
              <w:top w:val="single" w:color="CCCCCC" w:sz="4"/>
              <w:left w:val="single" w:color="CCCCCC" w:sz="4"/>
              <w:bottom w:val="single" w:color="CCCCCC" w:sz="4"/>
              <w:right w:val="single" w:color="CCCCCC" w:sz="4"/>
            </w:tcBorders>
            <w:shd w:fill="1A1A1A" w:val="clear"/>
            <w:tcMar>
              <w:top w:type="dxa" w:w="80"/>
              <w:left w:type="dxa" w:w="120"/>
              <w:bottom w:type="dxa" w:w="80"/>
              <w:right w:type="dxa" w:w="120"/>
            </w:tcMar>
          </w:tcPr>
          <w:p>
            <w:pPr>
              <w:spacing w:after="0" w:before="0"/>
            </w:pPr>
            <w:r>
              <w:rPr>
                <w:rFonts w:ascii="Times New Roman" w:cs="Times New Roman" w:eastAsia="Times New Roman" w:hAnsi="Times New Roman"/>
                <w:b/>
                <w:bCs/>
                <w:i w:val="false"/>
                <w:iCs w:val="false"/>
                <w:smallCaps w:val="false"/>
                <w:color w:val="FFFFFF"/>
                <w:sz w:val="19"/>
                <w:szCs w:val="19"/>
              </w:rPr>
              <w:t xml:space="preserve">Platform Treasury</w:t>
            </w:r>
          </w:p>
        </w:tc>
        <w:tc>
          <w:tcPr>
            <w:tcW w:type="dxa" w:w="1800"/>
            <w:tcBorders>
              <w:top w:val="single" w:color="CCCCCC" w:sz="4"/>
              <w:left w:val="single" w:color="CCCCCC" w:sz="4"/>
              <w:bottom w:val="single" w:color="CCCCCC" w:sz="4"/>
              <w:right w:val="single" w:color="CCCCCC" w:sz="4"/>
            </w:tcBorders>
            <w:shd w:fill="1A1A1A" w:val="clear"/>
            <w:tcMar>
              <w:top w:type="dxa" w:w="80"/>
              <w:left w:type="dxa" w:w="120"/>
              <w:bottom w:type="dxa" w:w="80"/>
              <w:right w:type="dxa" w:w="120"/>
            </w:tcMar>
          </w:tcPr>
          <w:p>
            <w:pPr>
              <w:spacing w:after="0" w:before="0"/>
            </w:pPr>
            <w:r>
              <w:rPr>
                <w:rFonts w:ascii="Times New Roman" w:cs="Times New Roman" w:eastAsia="Times New Roman" w:hAnsi="Times New Roman"/>
                <w:b/>
                <w:bCs/>
                <w:i w:val="false"/>
                <w:iCs w:val="false"/>
                <w:smallCaps w:val="false"/>
                <w:color w:val="FFFFFF"/>
                <w:sz w:val="19"/>
                <w:szCs w:val="19"/>
              </w:rPr>
              <w:t xml:space="preserve">Creator Wallet</w:t>
            </w:r>
          </w:p>
        </w:tc>
        <w:tc>
          <w:tcPr>
            <w:tcW w:type="dxa" w:w="1760"/>
            <w:tcBorders>
              <w:top w:val="single" w:color="CCCCCC" w:sz="4"/>
              <w:left w:val="single" w:color="CCCCCC" w:sz="4"/>
              <w:bottom w:val="single" w:color="CCCCCC" w:sz="4"/>
              <w:right w:val="single" w:color="CCCCCC" w:sz="4"/>
            </w:tcBorders>
            <w:shd w:fill="1A1A1A" w:val="clear"/>
            <w:tcMar>
              <w:top w:type="dxa" w:w="80"/>
              <w:left w:type="dxa" w:w="120"/>
              <w:bottom w:type="dxa" w:w="80"/>
              <w:right w:type="dxa" w:w="120"/>
            </w:tcMar>
          </w:tcPr>
          <w:p>
            <w:pPr>
              <w:spacing w:after="0" w:before="0"/>
            </w:pPr>
            <w:r>
              <w:rPr>
                <w:rFonts w:ascii="Times New Roman" w:cs="Times New Roman" w:eastAsia="Times New Roman" w:hAnsi="Times New Roman"/>
                <w:b/>
                <w:bCs/>
                <w:i w:val="false"/>
                <w:iCs w:val="false"/>
                <w:smallCaps w:val="false"/>
                <w:color w:val="FFFFFF"/>
                <w:sz w:val="19"/>
                <w:szCs w:val="19"/>
              </w:rPr>
              <w:t xml:space="preserve">Stability Reserve</w:t>
            </w:r>
          </w:p>
        </w:tc>
      </w:tr>
      <w:tr>
        <w:tc>
          <w:tcPr>
            <w:tcW w:type="dxa" w:w="26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Buy on bonding curve</w:t>
            </w:r>
          </w:p>
        </w:tc>
        <w:tc>
          <w:tcPr>
            <w:tcW w:type="dxa" w:w="14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1.00%</w:t>
            </w:r>
          </w:p>
        </w:tc>
        <w:tc>
          <w:tcPr>
            <w:tcW w:type="dxa" w:w="18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0.80%</w:t>
            </w:r>
          </w:p>
        </w:tc>
        <w:tc>
          <w:tcPr>
            <w:tcW w:type="dxa" w:w="18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0.20%</w:t>
            </w:r>
          </w:p>
        </w:tc>
        <w:tc>
          <w:tcPr>
            <w:tcW w:type="dxa" w:w="176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w:t>
            </w:r>
          </w:p>
        </w:tc>
      </w:tr>
      <w:tr>
        <w:tc>
          <w:tcPr>
            <w:tcW w:type="dxa" w:w="26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Sell on bonding curve</w:t>
            </w:r>
          </w:p>
        </w:tc>
        <w:tc>
          <w:tcPr>
            <w:tcW w:type="dxa" w:w="14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1.25%</w:t>
            </w:r>
          </w:p>
        </w:tc>
        <w:tc>
          <w:tcPr>
            <w:tcW w:type="dxa" w:w="18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1.00%</w:t>
            </w:r>
          </w:p>
        </w:tc>
        <w:tc>
          <w:tcPr>
            <w:tcW w:type="dxa" w:w="18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0.125%</w:t>
            </w:r>
          </w:p>
        </w:tc>
        <w:tc>
          <w:tcPr>
            <w:tcW w:type="dxa" w:w="176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0.125%</w:t>
            </w:r>
          </w:p>
        </w:tc>
      </w:tr>
    </w:tbl>
    <w:p>
      <w:pPr>
        <w:spacing w:after="200" w:before="40" w:line="276"/>
        <w:jc w:val="center"/>
      </w:pPr>
      <w:r>
        <w:rPr>
          <w:rFonts w:ascii="Times New Roman" w:cs="Times New Roman" w:eastAsia="Times New Roman" w:hAnsi="Times New Roman"/>
          <w:b w:val="false"/>
          <w:bCs w:val="false"/>
          <w:i/>
          <w:iCs/>
          <w:smallCaps w:val="false"/>
          <w:color w:val="666666"/>
          <w:sz w:val="18"/>
          <w:szCs w:val="18"/>
        </w:rPr>
        <w:t xml:space="preserve">Table 10. Bonding curve fee distribution.</w:t>
      </w:r>
    </w:p>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The asymmetric sell fee (1.25% vs. 1.00% buy) introduces a modest friction against rapid entry-exit cycling without penalising long-term holders. Sellers fund the stability reserve — a logical alignment since the reserve exists specifically to defend against sell pressure. Creator wallets receive a portion of every trade in both directions from the first moment their bonding curve is active.</w:t>
      </w:r>
    </w:p>
    <w:p>
      <w:pPr>
        <w:pStyle w:val="Heading2"/>
        <w:spacing w:after="100" w:before="320"/>
      </w:pPr>
      <w:r>
        <w:rPr>
          <w:rFonts w:ascii="Times New Roman" w:cs="Times New Roman" w:eastAsia="Times New Roman" w:hAnsi="Times New Roman"/>
          <w:b/>
          <w:bCs/>
          <w:i w:val="false"/>
          <w:iCs w:val="false"/>
          <w:smallCaps w:val="false"/>
          <w:color w:val="111111"/>
          <w:sz w:val="24"/>
          <w:szCs w:val="24"/>
        </w:rPr>
        <w:t xml:space="preserve">11.2  DEX Fees Post-Graduation</w:t>
      </w:r>
    </w:p>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After DEX graduation, all trades executed through the People.market interface are subject to two fee layers: a 0.75% platform fee (split equally three ways) plus the standard Raydium CPMM pool fee of 0.25%. Total user cost per DEX trade is approximately 1.00%.</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1200"/>
        <w:gridCol w:w="2400"/>
        <w:gridCol w:w="3760"/>
      </w:tblGrid>
      <w:tr>
        <w:trPr>
          <w:tblHeader/>
        </w:trPr>
        <w:tc>
          <w:tcPr>
            <w:tcW w:type="dxa" w:w="2000"/>
            <w:tcBorders>
              <w:top w:val="single" w:color="CCCCCC" w:sz="4"/>
              <w:left w:val="single" w:color="CCCCCC" w:sz="4"/>
              <w:bottom w:val="single" w:color="CCCCCC" w:sz="4"/>
              <w:right w:val="single" w:color="CCCCCC" w:sz="4"/>
            </w:tcBorders>
            <w:shd w:fill="1A1A1A" w:val="clear"/>
            <w:tcMar>
              <w:top w:type="dxa" w:w="80"/>
              <w:left w:type="dxa" w:w="120"/>
              <w:bottom w:type="dxa" w:w="80"/>
              <w:right w:type="dxa" w:w="120"/>
            </w:tcMar>
          </w:tcPr>
          <w:p>
            <w:pPr>
              <w:spacing w:after="0" w:before="0"/>
            </w:pPr>
            <w:r>
              <w:rPr>
                <w:rFonts w:ascii="Times New Roman" w:cs="Times New Roman" w:eastAsia="Times New Roman" w:hAnsi="Times New Roman"/>
                <w:b/>
                <w:bCs/>
                <w:i w:val="false"/>
                <w:iCs w:val="false"/>
                <w:smallCaps w:val="false"/>
                <w:color w:val="FFFFFF"/>
                <w:sz w:val="19"/>
                <w:szCs w:val="19"/>
              </w:rPr>
              <w:t xml:space="preserve">Fee Component</w:t>
            </w:r>
          </w:p>
        </w:tc>
        <w:tc>
          <w:tcPr>
            <w:tcW w:type="dxa" w:w="1200"/>
            <w:tcBorders>
              <w:top w:val="single" w:color="CCCCCC" w:sz="4"/>
              <w:left w:val="single" w:color="CCCCCC" w:sz="4"/>
              <w:bottom w:val="single" w:color="CCCCCC" w:sz="4"/>
              <w:right w:val="single" w:color="CCCCCC" w:sz="4"/>
            </w:tcBorders>
            <w:shd w:fill="1A1A1A" w:val="clear"/>
            <w:tcMar>
              <w:top w:type="dxa" w:w="80"/>
              <w:left w:type="dxa" w:w="120"/>
              <w:bottom w:type="dxa" w:w="80"/>
              <w:right w:type="dxa" w:w="120"/>
            </w:tcMar>
          </w:tcPr>
          <w:p>
            <w:pPr>
              <w:spacing w:after="0" w:before="0"/>
            </w:pPr>
            <w:r>
              <w:rPr>
                <w:rFonts w:ascii="Times New Roman" w:cs="Times New Roman" w:eastAsia="Times New Roman" w:hAnsi="Times New Roman"/>
                <w:b/>
                <w:bCs/>
                <w:i w:val="false"/>
                <w:iCs w:val="false"/>
                <w:smallCaps w:val="false"/>
                <w:color w:val="FFFFFF"/>
                <w:sz w:val="19"/>
                <w:szCs w:val="19"/>
              </w:rPr>
              <w:t xml:space="preserve">Rate</w:t>
            </w:r>
          </w:p>
        </w:tc>
        <w:tc>
          <w:tcPr>
            <w:tcW w:type="dxa" w:w="2400"/>
            <w:tcBorders>
              <w:top w:val="single" w:color="CCCCCC" w:sz="4"/>
              <w:left w:val="single" w:color="CCCCCC" w:sz="4"/>
              <w:bottom w:val="single" w:color="CCCCCC" w:sz="4"/>
              <w:right w:val="single" w:color="CCCCCC" w:sz="4"/>
            </w:tcBorders>
            <w:shd w:fill="1A1A1A" w:val="clear"/>
            <w:tcMar>
              <w:top w:type="dxa" w:w="80"/>
              <w:left w:type="dxa" w:w="120"/>
              <w:bottom w:type="dxa" w:w="80"/>
              <w:right w:type="dxa" w:w="120"/>
            </w:tcMar>
          </w:tcPr>
          <w:p>
            <w:pPr>
              <w:spacing w:after="0" w:before="0"/>
            </w:pPr>
            <w:r>
              <w:rPr>
                <w:rFonts w:ascii="Times New Roman" w:cs="Times New Roman" w:eastAsia="Times New Roman" w:hAnsi="Times New Roman"/>
                <w:b/>
                <w:bCs/>
                <w:i w:val="false"/>
                <w:iCs w:val="false"/>
                <w:smallCaps w:val="false"/>
                <w:color w:val="FFFFFF"/>
                <w:sz w:val="19"/>
                <w:szCs w:val="19"/>
              </w:rPr>
              <w:t xml:space="preserve">Recipient</w:t>
            </w:r>
          </w:p>
        </w:tc>
        <w:tc>
          <w:tcPr>
            <w:tcW w:type="dxa" w:w="3760"/>
            <w:tcBorders>
              <w:top w:val="single" w:color="CCCCCC" w:sz="4"/>
              <w:left w:val="single" w:color="CCCCCC" w:sz="4"/>
              <w:bottom w:val="single" w:color="CCCCCC" w:sz="4"/>
              <w:right w:val="single" w:color="CCCCCC" w:sz="4"/>
            </w:tcBorders>
            <w:shd w:fill="1A1A1A" w:val="clear"/>
            <w:tcMar>
              <w:top w:type="dxa" w:w="80"/>
              <w:left w:type="dxa" w:w="120"/>
              <w:bottom w:type="dxa" w:w="80"/>
              <w:right w:type="dxa" w:w="120"/>
            </w:tcMar>
          </w:tcPr>
          <w:p>
            <w:pPr>
              <w:spacing w:after="0" w:before="0"/>
            </w:pPr>
            <w:r>
              <w:rPr>
                <w:rFonts w:ascii="Times New Roman" w:cs="Times New Roman" w:eastAsia="Times New Roman" w:hAnsi="Times New Roman"/>
                <w:b/>
                <w:bCs/>
                <w:i w:val="false"/>
                <w:iCs w:val="false"/>
                <w:smallCaps w:val="false"/>
                <w:color w:val="FFFFFF"/>
                <w:sz w:val="19"/>
                <w:szCs w:val="19"/>
              </w:rPr>
              <w:t xml:space="preserve">Economic Function</w:t>
            </w:r>
          </w:p>
        </w:tc>
      </w:tr>
      <w:tr>
        <w:tc>
          <w:tcPr>
            <w:tcW w:type="dxa" w:w="20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Creator fee</w:t>
            </w:r>
          </w:p>
        </w:tc>
        <w:tc>
          <w:tcPr>
            <w:tcW w:type="dxa" w:w="12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0.25%</w:t>
            </w:r>
          </w:p>
        </w:tc>
        <w:tc>
          <w:tcPr>
            <w:tcW w:type="dxa" w:w="24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Creator wallet, directly</w:t>
            </w:r>
          </w:p>
        </w:tc>
        <w:tc>
          <w:tcPr>
            <w:tcW w:type="dxa" w:w="376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Ongoing income for creator proportional to community trading volume.</w:t>
            </w:r>
          </w:p>
        </w:tc>
      </w:tr>
      <w:tr>
        <w:tc>
          <w:tcPr>
            <w:tcW w:type="dxa" w:w="20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Raydium LP fee</w:t>
            </w:r>
          </w:p>
        </w:tc>
        <w:tc>
          <w:tcPr>
            <w:tcW w:type="dxa" w:w="12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0.25%</w:t>
            </w:r>
          </w:p>
        </w:tc>
        <w:tc>
          <w:tcPr>
            <w:tcW w:type="dxa" w:w="24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LP pool (LP tokens burned)</w:t>
            </w:r>
          </w:p>
        </w:tc>
        <w:tc>
          <w:tcPr>
            <w:tcW w:type="dxa" w:w="376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Accumulates in pool permanently, deepening liquidity for all traders over time.</w:t>
            </w:r>
          </w:p>
        </w:tc>
      </w:tr>
      <w:tr>
        <w:tc>
          <w:tcPr>
            <w:tcW w:type="dxa" w:w="20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Platform protocol fee</w:t>
            </w:r>
          </w:p>
        </w:tc>
        <w:tc>
          <w:tcPr>
            <w:tcW w:type="dxa" w:w="12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0.25%</w:t>
            </w:r>
          </w:p>
        </w:tc>
        <w:tc>
          <w:tcPr>
            <w:tcW w:type="dxa" w:w="24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People.market treasury</w:t>
            </w:r>
          </w:p>
        </w:tc>
        <w:tc>
          <w:tcPr>
            <w:tcW w:type="dxa" w:w="376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Platform revenue for infrastructure and development.</w:t>
            </w:r>
          </w:p>
        </w:tc>
      </w:tr>
      <w:tr>
        <w:tc>
          <w:tcPr>
            <w:tcW w:type="dxa" w:w="20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Raydium standard fee</w:t>
            </w:r>
          </w:p>
        </w:tc>
        <w:tc>
          <w:tcPr>
            <w:tcW w:type="dxa" w:w="12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0.25%</w:t>
            </w:r>
          </w:p>
        </w:tc>
        <w:tc>
          <w:tcPr>
            <w:tcW w:type="dxa" w:w="24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RAY buybacks, Raydium treasury</w:t>
            </w:r>
          </w:p>
        </w:tc>
        <w:tc>
          <w:tcPr>
            <w:tcW w:type="dxa" w:w="376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Raydium protocol fee, independent of People.market.</w:t>
            </w:r>
          </w:p>
        </w:tc>
      </w:tr>
    </w:tbl>
    <w:p>
      <w:pPr>
        <w:spacing w:after="200" w:before="40" w:line="276"/>
        <w:jc w:val="center"/>
      </w:pPr>
      <w:r>
        <w:rPr>
          <w:rFonts w:ascii="Times New Roman" w:cs="Times New Roman" w:eastAsia="Times New Roman" w:hAnsi="Times New Roman"/>
          <w:b w:val="false"/>
          <w:bCs w:val="false"/>
          <w:i/>
          <w:iCs/>
          <w:smallCaps w:val="false"/>
          <w:color w:val="666666"/>
          <w:sz w:val="18"/>
          <w:szCs w:val="18"/>
        </w:rPr>
        <w:t xml:space="preserve">Table 11. DEX trading fee structure per trade.</w:t>
      </w:r>
    </w:p>
    <w:p>
      <w:pPr>
        <w:pStyle w:val="Heading2"/>
        <w:spacing w:after="100" w:before="320"/>
      </w:pPr>
      <w:r>
        <w:rPr>
          <w:rFonts w:ascii="Times New Roman" w:cs="Times New Roman" w:eastAsia="Times New Roman" w:hAnsi="Times New Roman"/>
          <w:b/>
          <w:bCs/>
          <w:i w:val="false"/>
          <w:iCs w:val="false"/>
          <w:smallCaps w:val="false"/>
          <w:color w:val="111111"/>
          <w:sz w:val="24"/>
          <w:szCs w:val="24"/>
        </w:rPr>
        <w:t xml:space="preserve">11.3  Other Fees</w:t>
      </w:r>
    </w:p>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1600"/>
        <w:gridCol w:w="3000"/>
      </w:tblGrid>
      <w:tr>
        <w:trPr>
          <w:tblHeader/>
        </w:trPr>
        <w:tc>
          <w:tcPr>
            <w:tcW w:type="dxa" w:w="2400"/>
            <w:tcBorders>
              <w:top w:val="single" w:color="CCCCCC" w:sz="4"/>
              <w:left w:val="single" w:color="CCCCCC" w:sz="4"/>
              <w:bottom w:val="single" w:color="CCCCCC" w:sz="4"/>
              <w:right w:val="single" w:color="CCCCCC" w:sz="4"/>
            </w:tcBorders>
            <w:shd w:fill="1A1A1A" w:val="clear"/>
            <w:tcMar>
              <w:top w:type="dxa" w:w="80"/>
              <w:left w:type="dxa" w:w="120"/>
              <w:bottom w:type="dxa" w:w="80"/>
              <w:right w:type="dxa" w:w="120"/>
            </w:tcMar>
          </w:tcPr>
          <w:p>
            <w:pPr>
              <w:spacing w:after="0" w:before="0"/>
            </w:pPr>
            <w:r>
              <w:rPr>
                <w:rFonts w:ascii="Times New Roman" w:cs="Times New Roman" w:eastAsia="Times New Roman" w:hAnsi="Times New Roman"/>
                <w:b/>
                <w:bCs/>
                <w:i w:val="false"/>
                <w:iCs w:val="false"/>
                <w:smallCaps w:val="false"/>
                <w:color w:val="FFFFFF"/>
                <w:sz w:val="19"/>
                <w:szCs w:val="19"/>
              </w:rPr>
              <w:t xml:space="preserve">Fee</w:t>
            </w:r>
          </w:p>
        </w:tc>
        <w:tc>
          <w:tcPr>
            <w:tcW w:type="dxa" w:w="2400"/>
            <w:tcBorders>
              <w:top w:val="single" w:color="CCCCCC" w:sz="4"/>
              <w:left w:val="single" w:color="CCCCCC" w:sz="4"/>
              <w:bottom w:val="single" w:color="CCCCCC" w:sz="4"/>
              <w:right w:val="single" w:color="CCCCCC" w:sz="4"/>
            </w:tcBorders>
            <w:shd w:fill="1A1A1A" w:val="clear"/>
            <w:tcMar>
              <w:top w:type="dxa" w:w="80"/>
              <w:left w:type="dxa" w:w="120"/>
              <w:bottom w:type="dxa" w:w="80"/>
              <w:right w:type="dxa" w:w="120"/>
            </w:tcMar>
          </w:tcPr>
          <w:p>
            <w:pPr>
              <w:spacing w:after="0" w:before="0"/>
            </w:pPr>
            <w:r>
              <w:rPr>
                <w:rFonts w:ascii="Times New Roman" w:cs="Times New Roman" w:eastAsia="Times New Roman" w:hAnsi="Times New Roman"/>
                <w:b/>
                <w:bCs/>
                <w:i w:val="false"/>
                <w:iCs w:val="false"/>
                <w:smallCaps w:val="false"/>
                <w:color w:val="FFFFFF"/>
                <w:sz w:val="19"/>
                <w:szCs w:val="19"/>
              </w:rPr>
              <w:t xml:space="preserve">Amount</w:t>
            </w:r>
          </w:p>
        </w:tc>
        <w:tc>
          <w:tcPr>
            <w:tcW w:type="dxa" w:w="1600"/>
            <w:tcBorders>
              <w:top w:val="single" w:color="CCCCCC" w:sz="4"/>
              <w:left w:val="single" w:color="CCCCCC" w:sz="4"/>
              <w:bottom w:val="single" w:color="CCCCCC" w:sz="4"/>
              <w:right w:val="single" w:color="CCCCCC" w:sz="4"/>
            </w:tcBorders>
            <w:shd w:fill="1A1A1A" w:val="clear"/>
            <w:tcMar>
              <w:top w:type="dxa" w:w="80"/>
              <w:left w:type="dxa" w:w="120"/>
              <w:bottom w:type="dxa" w:w="80"/>
              <w:right w:type="dxa" w:w="120"/>
            </w:tcMar>
          </w:tcPr>
          <w:p>
            <w:pPr>
              <w:spacing w:after="0" w:before="0"/>
            </w:pPr>
            <w:r>
              <w:rPr>
                <w:rFonts w:ascii="Times New Roman" w:cs="Times New Roman" w:eastAsia="Times New Roman" w:hAnsi="Times New Roman"/>
                <w:b/>
                <w:bCs/>
                <w:i w:val="false"/>
                <w:iCs w:val="false"/>
                <w:smallCaps w:val="false"/>
                <w:color w:val="FFFFFF"/>
                <w:sz w:val="19"/>
                <w:szCs w:val="19"/>
              </w:rPr>
              <w:t xml:space="preserve">Paid By</w:t>
            </w:r>
          </w:p>
        </w:tc>
        <w:tc>
          <w:tcPr>
            <w:tcW w:type="dxa" w:w="3000"/>
            <w:tcBorders>
              <w:top w:val="single" w:color="CCCCCC" w:sz="4"/>
              <w:left w:val="single" w:color="CCCCCC" w:sz="4"/>
              <w:bottom w:val="single" w:color="CCCCCC" w:sz="4"/>
              <w:right w:val="single" w:color="CCCCCC" w:sz="4"/>
            </w:tcBorders>
            <w:shd w:fill="1A1A1A" w:val="clear"/>
            <w:tcMar>
              <w:top w:type="dxa" w:w="80"/>
              <w:left w:type="dxa" w:w="120"/>
              <w:bottom w:type="dxa" w:w="80"/>
              <w:right w:type="dxa" w:w="120"/>
            </w:tcMar>
          </w:tcPr>
          <w:p>
            <w:pPr>
              <w:spacing w:after="0" w:before="0"/>
            </w:pPr>
            <w:r>
              <w:rPr>
                <w:rFonts w:ascii="Times New Roman" w:cs="Times New Roman" w:eastAsia="Times New Roman" w:hAnsi="Times New Roman"/>
                <w:b/>
                <w:bCs/>
                <w:i w:val="false"/>
                <w:iCs w:val="false"/>
                <w:smallCaps w:val="false"/>
                <w:color w:val="FFFFFF"/>
                <w:sz w:val="19"/>
                <w:szCs w:val="19"/>
              </w:rPr>
              <w:t xml:space="preserve">Notes</w:t>
            </w:r>
          </w:p>
        </w:tc>
      </w:tr>
      <w:tr>
        <w:tc>
          <w:tcPr>
            <w:tcW w:type="dxa" w:w="24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Token launch fee</w:t>
            </w:r>
          </w:p>
        </w:tc>
        <w:tc>
          <w:tcPr>
            <w:tcW w:type="dxa" w:w="24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0.03 SOL (∼$5)</w:t>
            </w:r>
          </w:p>
        </w:tc>
        <w:tc>
          <w:tcPr>
            <w:tcW w:type="dxa" w:w="16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Creator at deployment</w:t>
            </w:r>
          </w:p>
        </w:tc>
        <w:tc>
          <w:tcPr>
            <w:tcW w:type="dxa" w:w="30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Filters uncommitted creators. Covers smart contract deployment gas.</w:t>
            </w:r>
          </w:p>
        </w:tc>
      </w:tr>
      <w:tr>
        <w:tc>
          <w:tcPr>
            <w:tcW w:type="dxa" w:w="24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Graduation fee</w:t>
            </w:r>
          </w:p>
        </w:tc>
        <w:tc>
          <w:tcPr>
            <w:tcW w:type="dxa" w:w="24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4% of total raise (∼$7,400 at full graduation)</w:t>
            </w:r>
          </w:p>
        </w:tc>
        <w:tc>
          <w:tcPr>
            <w:tcW w:type="dxa" w:w="16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Deducted from bonding curve funds</w:t>
            </w:r>
          </w:p>
        </w:tc>
        <w:tc>
          <w:tcPr>
            <w:tcW w:type="dxa" w:w="30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Largest single platform revenue event. Covers Raydium pool creation (∼0.15 SOL).</w:t>
            </w:r>
          </w:p>
        </w:tc>
      </w:tr>
      <w:tr>
        <w:tc>
          <w:tcPr>
            <w:tcW w:type="dxa" w:w="24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Task distribution fee</w:t>
            </w:r>
          </w:p>
        </w:tc>
        <w:tc>
          <w:tcPr>
            <w:tcW w:type="dxa" w:w="24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0%</w:t>
            </w:r>
          </w:p>
        </w:tc>
        <w:tc>
          <w:tcPr>
            <w:tcW w:type="dxa" w:w="16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Not applicable</w:t>
            </w:r>
          </w:p>
        </w:tc>
        <w:tc>
          <w:tcPr>
            <w:tcW w:type="dxa" w:w="30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Zero. Task economy is the user acquisition engine, not a revenue source.</w:t>
            </w:r>
          </w:p>
        </w:tc>
      </w:tr>
      <w:tr>
        <w:tc>
          <w:tcPr>
            <w:tcW w:type="dxa" w:w="24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Bonding curve buy gas</w:t>
            </w:r>
          </w:p>
        </w:tc>
        <w:tc>
          <w:tcPr>
            <w:tcW w:type="dxa" w:w="24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∼$0.001 + 0.002 SOL ATA rent (first purchase of each token)</w:t>
            </w:r>
          </w:p>
        </w:tc>
        <w:tc>
          <w:tcPr>
            <w:tcW w:type="dxa" w:w="16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User</w:t>
            </w:r>
          </w:p>
        </w:tc>
        <w:tc>
          <w:tcPr>
            <w:tcW w:type="dxa" w:w="30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ATA rent is a refundable Solana account deposit, recoverable on account closure.</w:t>
            </w:r>
          </w:p>
        </w:tc>
      </w:tr>
      <w:tr>
        <w:tc>
          <w:tcPr>
            <w:tcW w:type="dxa" w:w="24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Task token claim gas</w:t>
            </w:r>
          </w:p>
        </w:tc>
        <w:tc>
          <w:tcPr>
            <w:tcW w:type="dxa" w:w="24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∼$0.001 + 0.002 SOL ATA rent (first claim per token)</w:t>
            </w:r>
          </w:p>
        </w:tc>
        <w:tc>
          <w:tcPr>
            <w:tcW w:type="dxa" w:w="16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User</w:t>
            </w:r>
          </w:p>
        </w:tc>
        <w:tc>
          <w:tcPr>
            <w:tcW w:type="dxa" w:w="30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ATA rent refundable. Users claiming tokens are receiving value and can afford minimal gas.</w:t>
            </w:r>
          </w:p>
        </w:tc>
      </w:tr>
      <w:tr>
        <w:tc>
          <w:tcPr>
            <w:tcW w:type="dxa" w:w="24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Task escrow lock gas</w:t>
            </w:r>
          </w:p>
        </w:tc>
        <w:tc>
          <w:tcPr>
            <w:tcW w:type="dxa" w:w="24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∼$0.001 per task</w:t>
            </w:r>
          </w:p>
        </w:tc>
        <w:tc>
          <w:tcPr>
            <w:tcW w:type="dxa" w:w="16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Platform</w:t>
            </w:r>
          </w:p>
        </w:tc>
        <w:tc>
          <w:tcPr>
            <w:tcW w:type="dxa" w:w="30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Platform initiates the escrow locking transaction. User is not present; platform pays.</w:t>
            </w:r>
          </w:p>
        </w:tc>
      </w:tr>
      <w:tr>
        <w:tc>
          <w:tcPr>
            <w:tcW w:type="dxa" w:w="24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DEX migration gas</w:t>
            </w:r>
          </w:p>
        </w:tc>
        <w:tc>
          <w:tcPr>
            <w:tcW w:type="dxa" w:w="24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∼0.15 SOL</w:t>
            </w:r>
          </w:p>
        </w:tc>
        <w:tc>
          <w:tcPr>
            <w:tcW w:type="dxa" w:w="16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Platform (from graduation fee)</w:t>
            </w:r>
          </w:p>
        </w:tc>
        <w:tc>
          <w:tcPr>
            <w:tcW w:type="dxa" w:w="30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Raydium CPMM pool creation fee. Covered within platform's 4% graduation fee.</w:t>
            </w:r>
          </w:p>
        </w:tc>
      </w:tr>
    </w:tbl>
    <w:p>
      <w:pPr>
        <w:spacing w:after="200" w:before="40" w:line="276"/>
        <w:jc w:val="center"/>
      </w:pPr>
      <w:r>
        <w:rPr>
          <w:rFonts w:ascii="Times New Roman" w:cs="Times New Roman" w:eastAsia="Times New Roman" w:hAnsi="Times New Roman"/>
          <w:b w:val="false"/>
          <w:bCs w:val="false"/>
          <w:i/>
          <w:iCs/>
          <w:smallCaps w:val="false"/>
          <w:color w:val="666666"/>
          <w:sz w:val="18"/>
          <w:szCs w:val="18"/>
        </w:rPr>
        <w:t xml:space="preserve">Table 12. Complete fee schedule.</w:t>
      </w:r>
    </w:p>
    <w:p>
      <w:r>
        <w:br w:type="page"/>
      </w:r>
    </w:p>
    <w:p>
      <w:pPr>
        <w:pStyle w:val="Heading1"/>
        <w:pBdr>
          <w:bottom w:val="single" w:color="1A1A1A" w:sz="6" w:space="6"/>
        </w:pBdr>
        <w:spacing w:after="160" w:before="480"/>
      </w:pPr>
      <w:r>
        <w:rPr>
          <w:rFonts w:ascii="Times New Roman" w:cs="Times New Roman" w:eastAsia="Times New Roman" w:hAnsi="Times New Roman"/>
          <w:b/>
          <w:bCs/>
          <w:i w:val="false"/>
          <w:iCs w:val="false"/>
          <w:smallCaps w:val="false"/>
          <w:color w:val="111111"/>
          <w:sz w:val="28"/>
          <w:szCs w:val="28"/>
        </w:rPr>
        <w:t xml:space="preserve">12.   </w:t>
      </w:r>
      <w:r>
        <w:rPr>
          <w:rFonts w:ascii="Times New Roman" w:cs="Times New Roman" w:eastAsia="Times New Roman" w:hAnsi="Times New Roman"/>
          <w:b/>
          <w:bCs/>
          <w:i w:val="false"/>
          <w:iCs w:val="false"/>
          <w:smallCaps/>
          <w:color w:val="111111"/>
          <w:sz w:val="28"/>
          <w:szCs w:val="28"/>
        </w:rPr>
        <w:t xml:space="preserve">INCOME SHARING AND REVENUE MODEL</w:t>
      </w:r>
    </w:p>
    <w:p>
      <w:pPr>
        <w:pStyle w:val="Heading2"/>
        <w:spacing w:after="100" w:before="320"/>
      </w:pPr>
      <w:r>
        <w:rPr>
          <w:rFonts w:ascii="Times New Roman" w:cs="Times New Roman" w:eastAsia="Times New Roman" w:hAnsi="Times New Roman"/>
          <w:b/>
          <w:bCs/>
          <w:i w:val="false"/>
          <w:iCs w:val="false"/>
          <w:smallCaps w:val="false"/>
          <w:color w:val="111111"/>
          <w:sz w:val="24"/>
          <w:szCs w:val="24"/>
        </w:rPr>
        <w:t xml:space="preserve">12.1  Proportional Income Distribution</w:t>
      </w:r>
    </w:p>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When a creator earns income on the People.market platform from any source — subscriptions, tips, paid content, live event ticket sales — the Revenue Distribution smart contract receives the payment and distributes it proportionally to all token holders based on their balance at a weekly on-chain snapshot. The distribution is fully automated, transparent, and requires no trust in the platform operator.</w:t>
      </w:r>
    </w:p>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The proportional share of any holder address A is computed as: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8460"/>
        <w:gridCol w:w="900"/>
      </w:tblGrid>
      <w:tr>
        <w:tc>
          <w:tcPr>
            <w:tcW w:type="dxa" w:w="8460"/>
            <w:tcBorders>
              <w:top w:val="single" w:color="CCCCCC" w:sz="4"/>
              <w:left w:val="single" w:color="CCCCCC" w:sz="4"/>
              <w:bottom w:val="single" w:color="CCCCCC" w:sz="4"/>
              <w:right w:val="none" w:color="FFFFFF" w:sz="0"/>
            </w:tcBorders>
            <w:shd w:fill="EFEFEF" w:val="clear"/>
            <w:tcMar>
              <w:top w:type="dxa" w:w="100"/>
              <w:left w:type="dxa" w:w="240"/>
              <w:bottom w:type="dxa" w:w="100"/>
              <w:right w:type="dxa" w:w="120"/>
            </w:tcMar>
          </w:tcPr>
          <w:p>
            <w:pPr>
              <w:spacing w:after="40" w:before="0"/>
            </w:pPr>
            <w:r>
              <w:rPr>
                <w:rFonts w:ascii="Courier New" w:cs="Courier New" w:eastAsia="Courier New" w:hAnsi="Courier New"/>
                <w:b/>
                <w:bCs/>
                <w:color w:val="1A1A1A"/>
                <w:sz w:val="22"/>
                <w:szCs w:val="22"/>
              </w:rPr>
              <w:t xml:space="preserve">Share(A) = (Balance(A) / Total_Supply) × Total_Income</w:t>
            </w:r>
          </w:p>
          <w:p>
            <w:pPr>
              <w:spacing w:after="0" w:before="0"/>
            </w:pPr>
            <w:r>
              <w:rPr>
                <w:rFonts w:ascii="Times New Roman" w:cs="Times New Roman" w:eastAsia="Times New Roman" w:hAnsi="Times New Roman"/>
                <w:b w:val="false"/>
                <w:bCs w:val="false"/>
                <w:i/>
                <w:iCs/>
                <w:smallCaps w:val="false"/>
                <w:color w:val="666666"/>
                <w:sz w:val="17"/>
                <w:szCs w:val="17"/>
              </w:rPr>
              <w:t xml:space="preserve">Balance(A) = tokens held at snapshot block. Total_Supply = 100,000,000.</w:t>
            </w:r>
          </w:p>
        </w:tc>
        <w:tc>
          <w:tcPr>
            <w:tcW w:type="dxa" w:w="900"/>
            <w:tcBorders>
              <w:top w:val="single" w:color="CCCCCC" w:sz="4"/>
              <w:left w:val="none" w:color="FFFFFF" w:sz="0"/>
              <w:bottom w:val="single" w:color="CCCCCC" w:sz="4"/>
              <w:right w:val="single" w:color="CCCCCC" w:sz="4"/>
            </w:tcBorders>
            <w:shd w:fill="EFEFEF" w:val="clear"/>
            <w:tcMar>
              <w:top w:type="dxa" w:w="100"/>
              <w:left w:type="dxa" w:w="80"/>
              <w:bottom w:type="dxa" w:w="100"/>
              <w:right w:type="dxa" w:w="120"/>
            </w:tcMar>
            <w:vAlign w:val="center"/>
          </w:tcPr>
          <w:p>
            <w:pPr>
              <w:spacing w:after="0" w:before="0"/>
              <w:jc w:val="right"/>
            </w:pPr>
            <w:r>
              <w:rPr>
                <w:rFonts w:ascii="Times New Roman" w:cs="Times New Roman" w:eastAsia="Times New Roman" w:hAnsi="Times New Roman"/>
                <w:b w:val="false"/>
                <w:bCs w:val="false"/>
                <w:i/>
                <w:iCs/>
                <w:smallCaps w:val="false"/>
                <w:color w:val="666666"/>
                <w:sz w:val="19"/>
                <w:szCs w:val="19"/>
              </w:rPr>
              <w:t xml:space="preserve">(10)</w:t>
            </w:r>
          </w:p>
        </w:tc>
      </w:tr>
    </w:tbl>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This produces the following distribution for a creator earning $1,000 per week at the post-graduation supply structure: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2600"/>
        <w:gridCol w:w="1400"/>
        <w:gridCol w:w="2760"/>
      </w:tblGrid>
      <w:tr>
        <w:trPr>
          <w:tblHeader/>
        </w:trPr>
        <w:tc>
          <w:tcPr>
            <w:tcW w:type="dxa" w:w="2600"/>
            <w:tcBorders>
              <w:top w:val="single" w:color="CCCCCC" w:sz="4"/>
              <w:left w:val="single" w:color="CCCCCC" w:sz="4"/>
              <w:bottom w:val="single" w:color="CCCCCC" w:sz="4"/>
              <w:right w:val="single" w:color="CCCCCC" w:sz="4"/>
            </w:tcBorders>
            <w:shd w:fill="1A1A1A" w:val="clear"/>
            <w:tcMar>
              <w:top w:type="dxa" w:w="80"/>
              <w:left w:type="dxa" w:w="120"/>
              <w:bottom w:type="dxa" w:w="80"/>
              <w:right w:type="dxa" w:w="120"/>
            </w:tcMar>
          </w:tcPr>
          <w:p>
            <w:pPr>
              <w:spacing w:after="0" w:before="0"/>
            </w:pPr>
            <w:r>
              <w:rPr>
                <w:rFonts w:ascii="Times New Roman" w:cs="Times New Roman" w:eastAsia="Times New Roman" w:hAnsi="Times New Roman"/>
                <w:b/>
                <w:bCs/>
                <w:i w:val="false"/>
                <w:iCs w:val="false"/>
                <w:smallCaps w:val="false"/>
                <w:color w:val="FFFFFF"/>
                <w:sz w:val="19"/>
                <w:szCs w:val="19"/>
              </w:rPr>
              <w:t xml:space="preserve">Holder</w:t>
            </w:r>
          </w:p>
        </w:tc>
        <w:tc>
          <w:tcPr>
            <w:tcW w:type="dxa" w:w="2600"/>
            <w:tcBorders>
              <w:top w:val="single" w:color="CCCCCC" w:sz="4"/>
              <w:left w:val="single" w:color="CCCCCC" w:sz="4"/>
              <w:bottom w:val="single" w:color="CCCCCC" w:sz="4"/>
              <w:right w:val="single" w:color="CCCCCC" w:sz="4"/>
            </w:tcBorders>
            <w:shd w:fill="1A1A1A" w:val="clear"/>
            <w:tcMar>
              <w:top w:type="dxa" w:w="80"/>
              <w:left w:type="dxa" w:w="120"/>
              <w:bottom w:type="dxa" w:w="80"/>
              <w:right w:type="dxa" w:w="120"/>
            </w:tcMar>
          </w:tcPr>
          <w:p>
            <w:pPr>
              <w:spacing w:after="0" w:before="0"/>
            </w:pPr>
            <w:r>
              <w:rPr>
                <w:rFonts w:ascii="Times New Roman" w:cs="Times New Roman" w:eastAsia="Times New Roman" w:hAnsi="Times New Roman"/>
                <w:b/>
                <w:bCs/>
                <w:i w:val="false"/>
                <w:iCs w:val="false"/>
                <w:smallCaps w:val="false"/>
                <w:color w:val="FFFFFF"/>
                <w:sz w:val="19"/>
                <w:szCs w:val="19"/>
              </w:rPr>
              <w:t xml:space="preserve">Tokens</w:t>
            </w:r>
          </w:p>
        </w:tc>
        <w:tc>
          <w:tcPr>
            <w:tcW w:type="dxa" w:w="1400"/>
            <w:tcBorders>
              <w:top w:val="single" w:color="CCCCCC" w:sz="4"/>
              <w:left w:val="single" w:color="CCCCCC" w:sz="4"/>
              <w:bottom w:val="single" w:color="CCCCCC" w:sz="4"/>
              <w:right w:val="single" w:color="CCCCCC" w:sz="4"/>
            </w:tcBorders>
            <w:shd w:fill="1A1A1A" w:val="clear"/>
            <w:tcMar>
              <w:top w:type="dxa" w:w="80"/>
              <w:left w:type="dxa" w:w="120"/>
              <w:bottom w:type="dxa" w:w="80"/>
              <w:right w:type="dxa" w:w="120"/>
            </w:tcMar>
          </w:tcPr>
          <w:p>
            <w:pPr>
              <w:spacing w:after="0" w:before="0"/>
            </w:pPr>
            <w:r>
              <w:rPr>
                <w:rFonts w:ascii="Times New Roman" w:cs="Times New Roman" w:eastAsia="Times New Roman" w:hAnsi="Times New Roman"/>
                <w:b/>
                <w:bCs/>
                <w:i w:val="false"/>
                <w:iCs w:val="false"/>
                <w:smallCaps w:val="false"/>
                <w:color w:val="FFFFFF"/>
                <w:sz w:val="19"/>
                <w:szCs w:val="19"/>
              </w:rPr>
              <w:t xml:space="preserve">Pct.</w:t>
            </w:r>
          </w:p>
        </w:tc>
        <w:tc>
          <w:tcPr>
            <w:tcW w:type="dxa" w:w="2760"/>
            <w:tcBorders>
              <w:top w:val="single" w:color="CCCCCC" w:sz="4"/>
              <w:left w:val="single" w:color="CCCCCC" w:sz="4"/>
              <w:bottom w:val="single" w:color="CCCCCC" w:sz="4"/>
              <w:right w:val="single" w:color="CCCCCC" w:sz="4"/>
            </w:tcBorders>
            <w:shd w:fill="1A1A1A" w:val="clear"/>
            <w:tcMar>
              <w:top w:type="dxa" w:w="80"/>
              <w:left w:type="dxa" w:w="120"/>
              <w:bottom w:type="dxa" w:w="80"/>
              <w:right w:type="dxa" w:w="120"/>
            </w:tcMar>
          </w:tcPr>
          <w:p>
            <w:pPr>
              <w:spacing w:after="0" w:before="0"/>
            </w:pPr>
            <w:r>
              <w:rPr>
                <w:rFonts w:ascii="Times New Roman" w:cs="Times New Roman" w:eastAsia="Times New Roman" w:hAnsi="Times New Roman"/>
                <w:b/>
                <w:bCs/>
                <w:i w:val="false"/>
                <w:iCs w:val="false"/>
                <w:smallCaps w:val="false"/>
                <w:color w:val="FFFFFF"/>
                <w:sz w:val="19"/>
                <w:szCs w:val="19"/>
              </w:rPr>
              <w:t xml:space="preserve">Receives from $1,000</w:t>
            </w:r>
          </w:p>
        </w:tc>
      </w:tr>
      <w:tr>
        <w:tc>
          <w:tcPr>
            <w:tcW w:type="dxa" w:w="26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Creator (vesting balance)</w:t>
            </w:r>
          </w:p>
        </w:tc>
        <w:tc>
          <w:tcPr>
            <w:tcW w:type="dxa" w:w="26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∼67,270,000 (decreasing daily)</w:t>
            </w:r>
          </w:p>
        </w:tc>
        <w:tc>
          <w:tcPr>
            <w:tcW w:type="dxa" w:w="14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67.27%</w:t>
            </w:r>
          </w:p>
        </w:tc>
        <w:tc>
          <w:tcPr>
            <w:tcW w:type="dxa" w:w="276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$672.70</w:t>
            </w:r>
          </w:p>
        </w:tc>
      </w:tr>
      <w:tr>
        <w:tc>
          <w:tcPr>
            <w:tcW w:type="dxa" w:w="26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Public token holders (aggregate)</w:t>
            </w:r>
          </w:p>
        </w:tc>
        <w:tc>
          <w:tcPr>
            <w:tcW w:type="dxa" w:w="26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∼20,000,000 (across wallets)</w:t>
            </w:r>
          </w:p>
        </w:tc>
        <w:tc>
          <w:tcPr>
            <w:tcW w:type="dxa" w:w="14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20.00%</w:t>
            </w:r>
          </w:p>
        </w:tc>
        <w:tc>
          <w:tcPr>
            <w:tcW w:type="dxa" w:w="276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$200.00, split pro-rata by individual holdings</w:t>
            </w:r>
          </w:p>
        </w:tc>
      </w:tr>
      <w:tr>
        <w:tc>
          <w:tcPr>
            <w:tcW w:type="dxa" w:w="26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Task pool holders (in escrow)</w:t>
            </w:r>
          </w:p>
        </w:tc>
        <w:tc>
          <w:tcPr>
            <w:tcW w:type="dxa" w:w="26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∼2,000,000 (in escrow programs)</w:t>
            </w:r>
          </w:p>
        </w:tc>
        <w:tc>
          <w:tcPr>
            <w:tcW w:type="dxa" w:w="14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2.00%</w:t>
            </w:r>
          </w:p>
        </w:tc>
        <w:tc>
          <w:tcPr>
            <w:tcW w:type="dxa" w:w="276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$20.00, split pro-rata</w:t>
            </w:r>
          </w:p>
        </w:tc>
      </w:tr>
      <w:tr>
        <w:tc>
          <w:tcPr>
            <w:tcW w:type="dxa" w:w="26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Raydium LP Pool (burned LP)</w:t>
            </w:r>
          </w:p>
        </w:tc>
        <w:tc>
          <w:tcPr>
            <w:tcW w:type="dxa" w:w="26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10,730,000 (no individual owner)</w:t>
            </w:r>
          </w:p>
        </w:tc>
        <w:tc>
          <w:tcPr>
            <w:tcW w:type="dxa" w:w="14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10.73%</w:t>
            </w:r>
          </w:p>
        </w:tc>
        <w:tc>
          <w:tcPr>
            <w:tcW w:type="dxa" w:w="276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$107.30 → auto-redirected to People.market treasury</w:t>
            </w:r>
          </w:p>
        </w:tc>
      </w:tr>
    </w:tbl>
    <w:p>
      <w:pPr>
        <w:spacing w:after="200" w:before="40" w:line="276"/>
        <w:jc w:val="center"/>
      </w:pPr>
      <w:r>
        <w:rPr>
          <w:rFonts w:ascii="Times New Roman" w:cs="Times New Roman" w:eastAsia="Times New Roman" w:hAnsi="Times New Roman"/>
          <w:b w:val="false"/>
          <w:bCs w:val="false"/>
          <w:i/>
          <w:iCs/>
          <w:smallCaps w:val="false"/>
          <w:color w:val="666666"/>
          <w:sz w:val="18"/>
          <w:szCs w:val="18"/>
        </w:rPr>
        <w:t xml:space="preserve">Table 13. Income distribution example: creator earning $1,000/week.</w:t>
      </w:r>
    </w:p>
    <w:p>
      <w:pPr>
        <w:pStyle w:val="Heading2"/>
        <w:spacing w:after="100" w:before="320"/>
      </w:pPr>
      <w:r>
        <w:rPr>
          <w:rFonts w:ascii="Times New Roman" w:cs="Times New Roman" w:eastAsia="Times New Roman" w:hAnsi="Times New Roman"/>
          <w:b/>
          <w:bCs/>
          <w:i w:val="false"/>
          <w:iCs w:val="false"/>
          <w:smallCaps w:val="false"/>
          <w:color w:val="111111"/>
          <w:sz w:val="24"/>
          <w:szCs w:val="24"/>
        </w:rPr>
        <w:t xml:space="preserve">12.2  Platform Revenue from LP Pool Tokens</w:t>
      </w:r>
    </w:p>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The 10,730,000 tokens locked in the Raydium LP pool carry no individual owner, as LP tokens representing that position are burned. However, those tokens are still present in the token supply and therefore generate a proportional income claim at each distribution snapshot.</w:t>
      </w:r>
    </w:p>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The Revenue Distribution contract identifies the Raydium pool's on-chain account address at each snapshot and redirects the proportional income share that would be attributed to that address (10.73% of total creator income) to the People.market treasury instead.</w:t>
      </w:r>
    </w:p>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This design produces a platform revenue model that is structurally aligned with creator success: the platform earns more when creators earn more, and the magnitude of the platform's share is proportional to the size of the graduation raise, which reflects the strength of the creator's community.</w:t>
      </w:r>
    </w:p>
    <w:p>
      <w:pPr>
        <w:pStyle w:val="Heading2"/>
        <w:spacing w:after="100" w:before="320"/>
      </w:pPr>
      <w:r>
        <w:rPr>
          <w:rFonts w:ascii="Times New Roman" w:cs="Times New Roman" w:eastAsia="Times New Roman" w:hAnsi="Times New Roman"/>
          <w:b/>
          <w:bCs/>
          <w:i w:val="false"/>
          <w:iCs w:val="false"/>
          <w:smallCaps w:val="false"/>
          <w:color w:val="111111"/>
          <w:sz w:val="24"/>
          <w:szCs w:val="24"/>
        </w:rPr>
        <w:t xml:space="preserve">12.3  Platform Revenue Projections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1800"/>
        <w:gridCol w:w="2400"/>
        <w:gridCol w:w="2000"/>
        <w:gridCol w:w="1160"/>
      </w:tblGrid>
      <w:tr>
        <w:trPr>
          <w:tblHeader/>
        </w:trPr>
        <w:tc>
          <w:tcPr>
            <w:tcW w:type="dxa" w:w="2000"/>
            <w:tcBorders>
              <w:top w:val="single" w:color="CCCCCC" w:sz="4"/>
              <w:left w:val="single" w:color="CCCCCC" w:sz="4"/>
              <w:bottom w:val="single" w:color="CCCCCC" w:sz="4"/>
              <w:right w:val="single" w:color="CCCCCC" w:sz="4"/>
            </w:tcBorders>
            <w:shd w:fill="1A1A1A" w:val="clear"/>
            <w:tcMar>
              <w:top w:type="dxa" w:w="80"/>
              <w:left w:type="dxa" w:w="120"/>
              <w:bottom w:type="dxa" w:w="80"/>
              <w:right w:type="dxa" w:w="120"/>
            </w:tcMar>
          </w:tcPr>
          <w:p>
            <w:pPr>
              <w:spacing w:after="0" w:before="0"/>
            </w:pPr>
            <w:r>
              <w:rPr>
                <w:rFonts w:ascii="Times New Roman" w:cs="Times New Roman" w:eastAsia="Times New Roman" w:hAnsi="Times New Roman"/>
                <w:b/>
                <w:bCs/>
                <w:i w:val="false"/>
                <w:iCs w:val="false"/>
                <w:smallCaps w:val="false"/>
                <w:color w:val="FFFFFF"/>
                <w:sz w:val="19"/>
                <w:szCs w:val="19"/>
              </w:rPr>
              <w:t xml:space="preserve">Scenario</w:t>
            </w:r>
          </w:p>
        </w:tc>
        <w:tc>
          <w:tcPr>
            <w:tcW w:type="dxa" w:w="1800"/>
            <w:tcBorders>
              <w:top w:val="single" w:color="CCCCCC" w:sz="4"/>
              <w:left w:val="single" w:color="CCCCCC" w:sz="4"/>
              <w:bottom w:val="single" w:color="CCCCCC" w:sz="4"/>
              <w:right w:val="single" w:color="CCCCCC" w:sz="4"/>
            </w:tcBorders>
            <w:shd w:fill="1A1A1A" w:val="clear"/>
            <w:tcMar>
              <w:top w:type="dxa" w:w="80"/>
              <w:left w:type="dxa" w:w="120"/>
              <w:bottom w:type="dxa" w:w="80"/>
              <w:right w:type="dxa" w:w="120"/>
            </w:tcMar>
          </w:tcPr>
          <w:p>
            <w:pPr>
              <w:spacing w:after="0" w:before="0"/>
            </w:pPr>
            <w:r>
              <w:rPr>
                <w:rFonts w:ascii="Times New Roman" w:cs="Times New Roman" w:eastAsia="Times New Roman" w:hAnsi="Times New Roman"/>
                <w:b/>
                <w:bCs/>
                <w:i w:val="false"/>
                <w:iCs w:val="false"/>
                <w:smallCaps w:val="false"/>
                <w:color w:val="FFFFFF"/>
                <w:sz w:val="19"/>
                <w:szCs w:val="19"/>
              </w:rPr>
              <w:t xml:space="preserve">Tokens Launched</w:t>
            </w:r>
          </w:p>
        </w:tc>
        <w:tc>
          <w:tcPr>
            <w:tcW w:type="dxa" w:w="2400"/>
            <w:tcBorders>
              <w:top w:val="single" w:color="CCCCCC" w:sz="4"/>
              <w:left w:val="single" w:color="CCCCCC" w:sz="4"/>
              <w:bottom w:val="single" w:color="CCCCCC" w:sz="4"/>
              <w:right w:val="single" w:color="CCCCCC" w:sz="4"/>
            </w:tcBorders>
            <w:shd w:fill="1A1A1A" w:val="clear"/>
            <w:tcMar>
              <w:top w:type="dxa" w:w="80"/>
              <w:left w:type="dxa" w:w="120"/>
              <w:bottom w:type="dxa" w:w="80"/>
              <w:right w:type="dxa" w:w="120"/>
            </w:tcMar>
          </w:tcPr>
          <w:p>
            <w:pPr>
              <w:spacing w:after="0" w:before="0"/>
            </w:pPr>
            <w:r>
              <w:rPr>
                <w:rFonts w:ascii="Times New Roman" w:cs="Times New Roman" w:eastAsia="Times New Roman" w:hAnsi="Times New Roman"/>
                <w:b/>
                <w:bCs/>
                <w:i w:val="false"/>
                <w:iCs w:val="false"/>
                <w:smallCaps w:val="false"/>
                <w:color w:val="FFFFFF"/>
                <w:sz w:val="19"/>
                <w:szCs w:val="19"/>
              </w:rPr>
              <w:t xml:space="preserve">Tokens Graduating</w:t>
            </w:r>
          </w:p>
        </w:tc>
        <w:tc>
          <w:tcPr>
            <w:tcW w:type="dxa" w:w="2000"/>
            <w:tcBorders>
              <w:top w:val="single" w:color="CCCCCC" w:sz="4"/>
              <w:left w:val="single" w:color="CCCCCC" w:sz="4"/>
              <w:bottom w:val="single" w:color="CCCCCC" w:sz="4"/>
              <w:right w:val="single" w:color="CCCCCC" w:sz="4"/>
            </w:tcBorders>
            <w:shd w:fill="1A1A1A" w:val="clear"/>
            <w:tcMar>
              <w:top w:type="dxa" w:w="80"/>
              <w:left w:type="dxa" w:w="120"/>
              <w:bottom w:type="dxa" w:w="80"/>
              <w:right w:type="dxa" w:w="120"/>
            </w:tcMar>
          </w:tcPr>
          <w:p>
            <w:pPr>
              <w:spacing w:after="0" w:before="0"/>
            </w:pPr>
            <w:r>
              <w:rPr>
                <w:rFonts w:ascii="Times New Roman" w:cs="Times New Roman" w:eastAsia="Times New Roman" w:hAnsi="Times New Roman"/>
                <w:b/>
                <w:bCs/>
                <w:i w:val="false"/>
                <w:iCs w:val="false"/>
                <w:smallCaps w:val="false"/>
                <w:color w:val="FFFFFF"/>
                <w:sz w:val="19"/>
                <w:szCs w:val="19"/>
              </w:rPr>
              <w:t xml:space="preserve">Annual Revenue</w:t>
            </w:r>
          </w:p>
        </w:tc>
        <w:tc>
          <w:tcPr>
            <w:tcW w:type="dxa" w:w="1160"/>
            <w:tcBorders>
              <w:top w:val="single" w:color="CCCCCC" w:sz="4"/>
              <w:left w:val="single" w:color="CCCCCC" w:sz="4"/>
              <w:bottom w:val="single" w:color="CCCCCC" w:sz="4"/>
              <w:right w:val="single" w:color="CCCCCC" w:sz="4"/>
            </w:tcBorders>
            <w:shd w:fill="1A1A1A" w:val="clear"/>
            <w:tcMar>
              <w:top w:type="dxa" w:w="80"/>
              <w:left w:type="dxa" w:w="120"/>
              <w:bottom w:type="dxa" w:w="80"/>
              <w:right w:type="dxa" w:w="120"/>
            </w:tcMar>
          </w:tcPr>
          <w:p>
            <w:pPr>
              <w:spacing w:after="0" w:before="0"/>
            </w:pPr>
            <w:r>
              <w:rPr>
                <w:rFonts w:ascii="Times New Roman" w:cs="Times New Roman" w:eastAsia="Times New Roman" w:hAnsi="Times New Roman"/>
                <w:b/>
                <w:bCs/>
                <w:i w:val="false"/>
                <w:iCs w:val="false"/>
                <w:smallCaps w:val="false"/>
                <w:color w:val="FFFFFF"/>
                <w:sz w:val="19"/>
                <w:szCs w:val="19"/>
              </w:rPr>
              <w:t xml:space="preserve">Primary Driver</w:t>
            </w:r>
          </w:p>
        </w:tc>
      </w:tr>
      <w:tr>
        <w:tc>
          <w:tcPr>
            <w:tcW w:type="dxa" w:w="20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A — Conservative</w:t>
            </w:r>
          </w:p>
        </w:tc>
        <w:tc>
          <w:tcPr>
            <w:tcW w:type="dxa" w:w="18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200</w:t>
            </w:r>
          </w:p>
        </w:tc>
        <w:tc>
          <w:tcPr>
            <w:tcW w:type="dxa" w:w="24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20 (∼10%)</w:t>
            </w:r>
          </w:p>
        </w:tc>
        <w:tc>
          <w:tcPr>
            <w:tcW w:type="dxa" w:w="20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∼$130,000</w:t>
            </w:r>
          </w:p>
        </w:tc>
        <w:tc>
          <w:tcPr>
            <w:tcW w:type="dxa" w:w="116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Organic India-focused growth. No major viral events.</w:t>
            </w:r>
          </w:p>
        </w:tc>
      </w:tr>
      <w:tr>
        <w:tc>
          <w:tcPr>
            <w:tcW w:type="dxa" w:w="20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B — Base Case</w:t>
            </w:r>
          </w:p>
        </w:tc>
        <w:tc>
          <w:tcPr>
            <w:tcW w:type="dxa" w:w="18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500</w:t>
            </w:r>
          </w:p>
        </w:tc>
        <w:tc>
          <w:tcPr>
            <w:tcW w:type="dxa" w:w="24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50 (∼10%)</w:t>
            </w:r>
          </w:p>
        </w:tc>
        <w:tc>
          <w:tcPr>
            <w:tcW w:type="dxa" w:w="20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∼$670,000</w:t>
            </w:r>
          </w:p>
        </w:tc>
        <w:tc>
          <w:tcPr>
            <w:tcW w:type="dxa" w:w="116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2–3 viral creator launches. Most likely Year 1 outcome.</w:t>
            </w:r>
          </w:p>
        </w:tc>
      </w:tr>
      <w:tr>
        <w:tc>
          <w:tcPr>
            <w:tcW w:type="dxa" w:w="20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C — Breakout</w:t>
            </w:r>
          </w:p>
        </w:tc>
        <w:tc>
          <w:tcPr>
            <w:tcW w:type="dxa" w:w="18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2,000</w:t>
            </w:r>
          </w:p>
        </w:tc>
        <w:tc>
          <w:tcPr>
            <w:tcW w:type="dxa" w:w="24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150 (∼7.5%)</w:t>
            </w:r>
          </w:p>
        </w:tc>
        <w:tc>
          <w:tcPr>
            <w:tcW w:type="dxa" w:w="20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∼$4,000,000+</w:t>
            </w:r>
          </w:p>
        </w:tc>
        <w:tc>
          <w:tcPr>
            <w:tcW w:type="dxa" w:w="116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One major viral moment. Bull market. Major creator partnership.</w:t>
            </w:r>
          </w:p>
        </w:tc>
      </w:tr>
    </w:tbl>
    <w:p>
      <w:pPr>
        <w:spacing w:after="200" w:before="40" w:line="276"/>
        <w:jc w:val="center"/>
      </w:pPr>
      <w:r>
        <w:rPr>
          <w:rFonts w:ascii="Times New Roman" w:cs="Times New Roman" w:eastAsia="Times New Roman" w:hAnsi="Times New Roman"/>
          <w:b w:val="false"/>
          <w:bCs w:val="false"/>
          <w:i/>
          <w:iCs/>
          <w:smallCaps w:val="false"/>
          <w:color w:val="666666"/>
          <w:sz w:val="18"/>
          <w:szCs w:val="18"/>
        </w:rPr>
        <w:t xml:space="preserve">Table 14. Platform revenue projections under three scenarios.</w:t>
      </w:r>
    </w:p>
    <w:p>
      <w:r>
        <w:br w:type="page"/>
      </w:r>
    </w:p>
    <w:p>
      <w:pPr>
        <w:pStyle w:val="Heading1"/>
        <w:pBdr>
          <w:bottom w:val="single" w:color="1A1A1A" w:sz="6" w:space="6"/>
        </w:pBdr>
        <w:spacing w:after="160" w:before="480"/>
      </w:pPr>
      <w:r>
        <w:rPr>
          <w:rFonts w:ascii="Times New Roman" w:cs="Times New Roman" w:eastAsia="Times New Roman" w:hAnsi="Times New Roman"/>
          <w:b/>
          <w:bCs/>
          <w:i w:val="false"/>
          <w:iCs w:val="false"/>
          <w:smallCaps w:val="false"/>
          <w:color w:val="111111"/>
          <w:sz w:val="28"/>
          <w:szCs w:val="28"/>
        </w:rPr>
        <w:t xml:space="preserve">13.   </w:t>
      </w:r>
      <w:r>
        <w:rPr>
          <w:rFonts w:ascii="Times New Roman" w:cs="Times New Roman" w:eastAsia="Times New Roman" w:hAnsi="Times New Roman"/>
          <w:b/>
          <w:bCs/>
          <w:i w:val="false"/>
          <w:iCs w:val="false"/>
          <w:smallCaps/>
          <w:color w:val="111111"/>
          <w:sz w:val="28"/>
          <w:szCs w:val="28"/>
        </w:rPr>
        <w:t xml:space="preserve">TASK ECONOMY</w:t>
      </w:r>
    </w:p>
    <w:p>
      <w:pPr>
        <w:pStyle w:val="Heading2"/>
        <w:spacing w:after="100" w:before="320"/>
      </w:pPr>
      <w:r>
        <w:rPr>
          <w:rFonts w:ascii="Times New Roman" w:cs="Times New Roman" w:eastAsia="Times New Roman" w:hAnsi="Times New Roman"/>
          <w:b/>
          <w:bCs/>
          <w:i w:val="false"/>
          <w:iCs w:val="false"/>
          <w:smallCaps w:val="false"/>
          <w:color w:val="111111"/>
          <w:sz w:val="24"/>
          <w:szCs w:val="24"/>
        </w:rPr>
        <w:t xml:space="preserve">13.1  Overview</w:t>
      </w:r>
    </w:p>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The task economy is People.market's primary product differentiator and its most important mechanism for sustainable user retention. No existing SocialFi platform has implemented a native task marketplace. The task economy creates genuine non-speculative utility for token holders: completing tasks is a mechanism for earning token positions, with the post-migration vesting requirement ensuring that task earners' incentives are aligned with the token's long-term success rather than its immediate price.</w:t>
      </w:r>
    </w:p>
    <w:p>
      <w:pPr>
        <w:pStyle w:val="Heading2"/>
        <w:spacing w:after="100" w:before="320"/>
      </w:pPr>
      <w:r>
        <w:rPr>
          <w:rFonts w:ascii="Times New Roman" w:cs="Times New Roman" w:eastAsia="Times New Roman" w:hAnsi="Times New Roman"/>
          <w:b/>
          <w:bCs/>
          <w:i w:val="false"/>
          <w:iCs w:val="false"/>
          <w:smallCaps w:val="false"/>
          <w:color w:val="111111"/>
          <w:sz w:val="24"/>
          <w:szCs w:val="24"/>
        </w:rPr>
        <w:t xml:space="preserve">13.2  Mechanism</w:t>
      </w:r>
    </w:p>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The task economy operates through a three-party protocol:</w:t>
      </w:r>
    </w:p>
    <w:p>
      <w:pPr>
        <w:pStyle w:val="ListParagraph"/>
        <w:numPr>
          <w:ilvl w:val="0"/>
          <w:numId w:val="3"/>
        </w:numPr>
        <w:spacing w:after="80" w:before="40"/>
      </w:pPr>
      <w:r>
        <w:rPr>
          <w:rFonts w:ascii="Times New Roman" w:cs="Times New Roman" w:eastAsia="Times New Roman" w:hAnsi="Times New Roman"/>
          <w:b w:val="false"/>
          <w:bCs w:val="false"/>
          <w:i w:val="false"/>
          <w:iCs w:val="false"/>
          <w:smallCaps w:val="false"/>
          <w:color w:val="111111"/>
          <w:sz w:val="22"/>
          <w:szCs w:val="22"/>
        </w:rPr>
        <w:t xml:space="preserve">Creator deploys a task. The creator specifies a task type, a reward quantity drawn from their 2,000,000-token community pool, a task description, and a verification URL or mechanism. The task escrow program locks the specified reward quantity immediately upon task creation.</w:t>
      </w:r>
    </w:p>
    <w:p>
      <w:pPr>
        <w:pStyle w:val="ListParagraph"/>
        <w:numPr>
          <w:ilvl w:val="0"/>
          <w:numId w:val="3"/>
        </w:numPr>
        <w:spacing w:after="80" w:before="40"/>
      </w:pPr>
      <w:r>
        <w:rPr>
          <w:rFonts w:ascii="Times New Roman" w:cs="Times New Roman" w:eastAsia="Times New Roman" w:hAnsi="Times New Roman"/>
          <w:b w:val="false"/>
          <w:bCs w:val="false"/>
          <w:i w:val="false"/>
          <w:iCs w:val="false"/>
          <w:smallCaps w:val="false"/>
          <w:color w:val="111111"/>
          <w:sz w:val="22"/>
          <w:szCs w:val="22"/>
        </w:rPr>
        <w:t xml:space="preserve">User completes and submits. The user performs the required action and submits proof (URL, transaction hash, or confirmation code) through the platform interface. The backend verifies completion through the appropriate verification mechanism (social API, on-chain state, or creator confirmation).</w:t>
      </w:r>
    </w:p>
    <w:p>
      <w:pPr>
        <w:pStyle w:val="ListParagraph"/>
        <w:numPr>
          <w:ilvl w:val="0"/>
          <w:numId w:val="3"/>
        </w:numPr>
        <w:spacing w:after="80" w:before="40"/>
      </w:pPr>
      <w:r>
        <w:rPr>
          <w:rFonts w:ascii="Times New Roman" w:cs="Times New Roman" w:eastAsia="Times New Roman" w:hAnsi="Times New Roman"/>
          <w:b w:val="false"/>
          <w:bCs w:val="false"/>
          <w:i w:val="false"/>
          <w:iCs w:val="false"/>
          <w:smallCaps w:val="false"/>
          <w:color w:val="111111"/>
          <w:sz w:val="22"/>
          <w:szCs w:val="22"/>
        </w:rPr>
        <w:t xml:space="preserve">Reward locked to user PDA. Upon verified completion, the platform authority co-signs a transaction that transfers the reward tokens from the task reserve account into the user's Program Derived Address for that creator token. Tokens are on-chain but locked in the escrow program, not in the user's wallet.</w:t>
      </w:r>
    </w:p>
    <w:p>
      <w:pPr>
        <w:pStyle w:val="Heading2"/>
        <w:spacing w:after="100" w:before="320"/>
      </w:pPr>
      <w:r>
        <w:rPr>
          <w:rFonts w:ascii="Times New Roman" w:cs="Times New Roman" w:eastAsia="Times New Roman" w:hAnsi="Times New Roman"/>
          <w:b/>
          <w:bCs/>
          <w:i w:val="false"/>
          <w:iCs w:val="false"/>
          <w:smallCaps w:val="false"/>
          <w:color w:val="111111"/>
          <w:sz w:val="24"/>
          <w:szCs w:val="24"/>
        </w:rPr>
        <w:t xml:space="preserve">13.3  Task Categories and Verification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2400"/>
        <w:gridCol w:w="1400"/>
        <w:gridCol w:w="3560"/>
      </w:tblGrid>
      <w:tr>
        <w:trPr>
          <w:tblHeader/>
        </w:trPr>
        <w:tc>
          <w:tcPr>
            <w:tcW w:type="dxa" w:w="2000"/>
            <w:tcBorders>
              <w:top w:val="single" w:color="CCCCCC" w:sz="4"/>
              <w:left w:val="single" w:color="CCCCCC" w:sz="4"/>
              <w:bottom w:val="single" w:color="CCCCCC" w:sz="4"/>
              <w:right w:val="single" w:color="CCCCCC" w:sz="4"/>
            </w:tcBorders>
            <w:shd w:fill="1A1A1A" w:val="clear"/>
            <w:tcMar>
              <w:top w:type="dxa" w:w="80"/>
              <w:left w:type="dxa" w:w="120"/>
              <w:bottom w:type="dxa" w:w="80"/>
              <w:right w:type="dxa" w:w="120"/>
            </w:tcMar>
          </w:tcPr>
          <w:p>
            <w:pPr>
              <w:spacing w:after="0" w:before="0"/>
            </w:pPr>
            <w:r>
              <w:rPr>
                <w:rFonts w:ascii="Times New Roman" w:cs="Times New Roman" w:eastAsia="Times New Roman" w:hAnsi="Times New Roman"/>
                <w:b/>
                <w:bCs/>
                <w:i w:val="false"/>
                <w:iCs w:val="false"/>
                <w:smallCaps w:val="false"/>
                <w:color w:val="FFFFFF"/>
                <w:sz w:val="19"/>
                <w:szCs w:val="19"/>
              </w:rPr>
              <w:t xml:space="preserve">Category</w:t>
            </w:r>
          </w:p>
        </w:tc>
        <w:tc>
          <w:tcPr>
            <w:tcW w:type="dxa" w:w="2400"/>
            <w:tcBorders>
              <w:top w:val="single" w:color="CCCCCC" w:sz="4"/>
              <w:left w:val="single" w:color="CCCCCC" w:sz="4"/>
              <w:bottom w:val="single" w:color="CCCCCC" w:sz="4"/>
              <w:right w:val="single" w:color="CCCCCC" w:sz="4"/>
            </w:tcBorders>
            <w:shd w:fill="1A1A1A" w:val="clear"/>
            <w:tcMar>
              <w:top w:type="dxa" w:w="80"/>
              <w:left w:type="dxa" w:w="120"/>
              <w:bottom w:type="dxa" w:w="80"/>
              <w:right w:type="dxa" w:w="120"/>
            </w:tcMar>
          </w:tcPr>
          <w:p>
            <w:pPr>
              <w:spacing w:after="0" w:before="0"/>
            </w:pPr>
            <w:r>
              <w:rPr>
                <w:rFonts w:ascii="Times New Roman" w:cs="Times New Roman" w:eastAsia="Times New Roman" w:hAnsi="Times New Roman"/>
                <w:b/>
                <w:bCs/>
                <w:i w:val="false"/>
                <w:iCs w:val="false"/>
                <w:smallCaps w:val="false"/>
                <w:color w:val="FFFFFF"/>
                <w:sz w:val="19"/>
                <w:szCs w:val="19"/>
              </w:rPr>
              <w:t xml:space="preserve">Examples</w:t>
            </w:r>
          </w:p>
        </w:tc>
        <w:tc>
          <w:tcPr>
            <w:tcW w:type="dxa" w:w="1400"/>
            <w:tcBorders>
              <w:top w:val="single" w:color="CCCCCC" w:sz="4"/>
              <w:left w:val="single" w:color="CCCCCC" w:sz="4"/>
              <w:bottom w:val="single" w:color="CCCCCC" w:sz="4"/>
              <w:right w:val="single" w:color="CCCCCC" w:sz="4"/>
            </w:tcBorders>
            <w:shd w:fill="1A1A1A" w:val="clear"/>
            <w:tcMar>
              <w:top w:type="dxa" w:w="80"/>
              <w:left w:type="dxa" w:w="120"/>
              <w:bottom w:type="dxa" w:w="80"/>
              <w:right w:type="dxa" w:w="120"/>
            </w:tcMar>
          </w:tcPr>
          <w:p>
            <w:pPr>
              <w:spacing w:after="0" w:before="0"/>
            </w:pPr>
            <w:r>
              <w:rPr>
                <w:rFonts w:ascii="Times New Roman" w:cs="Times New Roman" w:eastAsia="Times New Roman" w:hAnsi="Times New Roman"/>
                <w:b/>
                <w:bCs/>
                <w:i w:val="false"/>
                <w:iCs w:val="false"/>
                <w:smallCaps w:val="false"/>
                <w:color w:val="FFFFFF"/>
                <w:sz w:val="19"/>
                <w:szCs w:val="19"/>
              </w:rPr>
              <w:t xml:space="preserve">Token Range</w:t>
            </w:r>
          </w:p>
        </w:tc>
        <w:tc>
          <w:tcPr>
            <w:tcW w:type="dxa" w:w="3560"/>
            <w:tcBorders>
              <w:top w:val="single" w:color="CCCCCC" w:sz="4"/>
              <w:left w:val="single" w:color="CCCCCC" w:sz="4"/>
              <w:bottom w:val="single" w:color="CCCCCC" w:sz="4"/>
              <w:right w:val="single" w:color="CCCCCC" w:sz="4"/>
            </w:tcBorders>
            <w:shd w:fill="1A1A1A" w:val="clear"/>
            <w:tcMar>
              <w:top w:type="dxa" w:w="80"/>
              <w:left w:type="dxa" w:w="120"/>
              <w:bottom w:type="dxa" w:w="80"/>
              <w:right w:type="dxa" w:w="120"/>
            </w:tcMar>
          </w:tcPr>
          <w:p>
            <w:pPr>
              <w:spacing w:after="0" w:before="0"/>
            </w:pPr>
            <w:r>
              <w:rPr>
                <w:rFonts w:ascii="Times New Roman" w:cs="Times New Roman" w:eastAsia="Times New Roman" w:hAnsi="Times New Roman"/>
                <w:b/>
                <w:bCs/>
                <w:i w:val="false"/>
                <w:iCs w:val="false"/>
                <w:smallCaps w:val="false"/>
                <w:color w:val="FFFFFF"/>
                <w:sz w:val="19"/>
                <w:szCs w:val="19"/>
              </w:rPr>
              <w:t xml:space="preserve">Verification Method</w:t>
            </w:r>
          </w:p>
        </w:tc>
      </w:tr>
      <w:tr>
        <w:tc>
          <w:tcPr>
            <w:tcW w:type="dxa" w:w="20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Social engagement</w:t>
            </w:r>
          </w:p>
        </w:tc>
        <w:tc>
          <w:tcPr>
            <w:tcW w:type="dxa" w:w="24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Follow, like, share, subscribe, comment on specified content</w:t>
            </w:r>
          </w:p>
        </w:tc>
        <w:tc>
          <w:tcPr>
            <w:tcW w:type="dxa" w:w="14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10–80 tokens</w:t>
            </w:r>
          </w:p>
        </w:tc>
        <w:tc>
          <w:tcPr>
            <w:tcW w:type="dxa" w:w="356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Twitter/X, YouTube, Instagram, TikTok official APIs. Automated. 48-hour re-verification to detect unfollows.</w:t>
            </w:r>
          </w:p>
        </w:tc>
      </w:tr>
      <w:tr>
        <w:tc>
          <w:tcPr>
            <w:tcW w:type="dxa" w:w="20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Content creation</w:t>
            </w:r>
          </w:p>
        </w:tc>
        <w:tc>
          <w:tcPr>
            <w:tcW w:type="dxa" w:w="24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Original tweets, reels, TikToks, memes, blog posts</w:t>
            </w:r>
          </w:p>
        </w:tc>
        <w:tc>
          <w:tcPr>
            <w:tcW w:type="dxa" w:w="14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50–2,000 tokens</w:t>
            </w:r>
          </w:p>
        </w:tc>
        <w:tc>
          <w:tcPr>
            <w:tcW w:type="dxa" w:w="356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URL submission plus creator review within 72 hours. Auto-approved if creator does not review within window.</w:t>
            </w:r>
          </w:p>
        </w:tc>
      </w:tr>
      <w:tr>
        <w:tc>
          <w:tcPr>
            <w:tcW w:type="dxa" w:w="20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Referrals</w:t>
            </w:r>
          </w:p>
        </w:tc>
        <w:tc>
          <w:tcPr>
            <w:tcW w:type="dxa" w:w="24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New platform user referrals, new token buyer referrals</w:t>
            </w:r>
          </w:p>
        </w:tc>
        <w:tc>
          <w:tcPr>
            <w:tcW w:type="dxa" w:w="14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100–500 tokens</w:t>
            </w:r>
          </w:p>
        </w:tc>
        <w:tc>
          <w:tcPr>
            <w:tcW w:type="dxa" w:w="356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On-chain referral attribution via smart contract. Tamper-proof, fully automated.</w:t>
            </w:r>
          </w:p>
        </w:tc>
      </w:tr>
      <w:tr>
        <w:tc>
          <w:tcPr>
            <w:tcW w:type="dxa" w:w="20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Community participation</w:t>
            </w:r>
          </w:p>
        </w:tc>
        <w:tc>
          <w:tcPr>
            <w:tcW w:type="dxa" w:w="24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Twitter Spaces, live events, AMAs, competitions</w:t>
            </w:r>
          </w:p>
        </w:tc>
        <w:tc>
          <w:tcPr>
            <w:tcW w:type="dxa" w:w="14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20–10,000 tokens</w:t>
            </w:r>
          </w:p>
        </w:tc>
        <w:tc>
          <w:tcPr>
            <w:tcW w:type="dxa" w:w="356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Bot-verified attendance plus creator confirmation within 72 hours.</w:t>
            </w:r>
          </w:p>
        </w:tc>
      </w:tr>
      <w:tr>
        <w:tc>
          <w:tcPr>
            <w:tcW w:type="dxa" w:w="20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On-platform actions</w:t>
            </w:r>
          </w:p>
        </w:tc>
        <w:tc>
          <w:tcPr>
            <w:tcW w:type="dxa" w:w="24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Stake tokens, hold for specified duration, top holder bonus</w:t>
            </w:r>
          </w:p>
        </w:tc>
        <w:tc>
          <w:tcPr>
            <w:tcW w:type="dxa" w:w="14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Variable</w:t>
            </w:r>
          </w:p>
        </w:tc>
        <w:tc>
          <w:tcPr>
            <w:tcW w:type="dxa" w:w="356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On-chain state verification. Fully automated, no review required.</w:t>
            </w:r>
          </w:p>
        </w:tc>
      </w:tr>
      <w:tr>
        <w:tc>
          <w:tcPr>
            <w:tcW w:type="dxa" w:w="20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Real-world participation</w:t>
            </w:r>
          </w:p>
        </w:tc>
        <w:tc>
          <w:tcPr>
            <w:tcW w:type="dxa" w:w="24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Event attendance (QR scan), merchandise purchase, verified reviews</w:t>
            </w:r>
          </w:p>
        </w:tc>
        <w:tc>
          <w:tcPr>
            <w:tcW w:type="dxa" w:w="14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300–5,000 tokens</w:t>
            </w:r>
          </w:p>
        </w:tc>
        <w:tc>
          <w:tcPr>
            <w:tcW w:type="dxa" w:w="356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QR code tied to wallet, order confirmation, and creator verification.</w:t>
            </w:r>
          </w:p>
        </w:tc>
      </w:tr>
    </w:tbl>
    <w:p>
      <w:pPr>
        <w:spacing w:after="200" w:before="40" w:line="276"/>
        <w:jc w:val="center"/>
      </w:pPr>
      <w:r>
        <w:rPr>
          <w:rFonts w:ascii="Times New Roman" w:cs="Times New Roman" w:eastAsia="Times New Roman" w:hAnsi="Times New Roman"/>
          <w:b w:val="false"/>
          <w:bCs w:val="false"/>
          <w:i/>
          <w:iCs/>
          <w:smallCaps w:val="false"/>
          <w:color w:val="666666"/>
          <w:sz w:val="18"/>
          <w:szCs w:val="18"/>
        </w:rPr>
        <w:t xml:space="preserve">Table 15. Task categories, reward ranges, and verification methods.</w:t>
      </w:r>
    </w:p>
    <w:p>
      <w:pPr>
        <w:pStyle w:val="Heading2"/>
        <w:spacing w:after="100" w:before="320"/>
      </w:pPr>
      <w:r>
        <w:rPr>
          <w:rFonts w:ascii="Times New Roman" w:cs="Times New Roman" w:eastAsia="Times New Roman" w:hAnsi="Times New Roman"/>
          <w:b/>
          <w:bCs/>
          <w:i w:val="false"/>
          <w:iCs w:val="false"/>
          <w:smallCaps w:val="false"/>
          <w:color w:val="111111"/>
          <w:sz w:val="24"/>
          <w:szCs w:val="24"/>
        </w:rPr>
        <w:t xml:space="preserve">13.4  Vesting of Task-Earned Tokens</w:t>
      </w:r>
    </w:p>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Task tokens are subject to the following vesting schedule after DEX graduation:</w:t>
      </w:r>
    </w:p>
    <w:p>
      <w:pPr>
        <w:pStyle w:val="ListParagraph"/>
        <w:numPr>
          <w:ilvl w:val="0"/>
          <w:numId w:val="2"/>
        </w:numPr>
        <w:spacing w:after="80" w:before="40"/>
      </w:pPr>
      <w:r>
        <w:rPr>
          <w:rFonts w:ascii="Times New Roman" w:cs="Times New Roman" w:eastAsia="Times New Roman" w:hAnsi="Times New Roman"/>
          <w:b w:val="false"/>
          <w:bCs w:val="false"/>
          <w:i w:val="false"/>
          <w:iCs w:val="false"/>
          <w:smallCaps w:val="false"/>
          <w:color w:val="111111"/>
          <w:sz w:val="22"/>
          <w:szCs w:val="22"/>
        </w:rPr>
        <w:t xml:space="preserve">30-day cliff. All task tokens remain locked for 30 days following DEX graduation. During this period, no task tokens can be claimed or transferred.</w:t>
      </w:r>
    </w:p>
    <w:p>
      <w:pPr>
        <w:pStyle w:val="ListParagraph"/>
        <w:numPr>
          <w:ilvl w:val="0"/>
          <w:numId w:val="2"/>
        </w:numPr>
        <w:spacing w:after="80" w:before="40"/>
      </w:pPr>
      <w:r>
        <w:rPr>
          <w:rFonts w:ascii="Times New Roman" w:cs="Times New Roman" w:eastAsia="Times New Roman" w:hAnsi="Times New Roman"/>
          <w:b w:val="false"/>
          <w:bCs w:val="false"/>
          <w:i w:val="false"/>
          <w:iCs w:val="false"/>
          <w:smallCaps w:val="false"/>
          <w:color w:val="111111"/>
          <w:sz w:val="22"/>
          <w:szCs w:val="22"/>
        </w:rPr>
        <w:t xml:space="preserve">10% monthly vesting. After the cliff, 10% of each user's total earned balance becomes claimable per calendar month for 10 months.</w:t>
      </w:r>
    </w:p>
    <w:p>
      <w:pPr>
        <w:pStyle w:val="ListParagraph"/>
        <w:numPr>
          <w:ilvl w:val="0"/>
          <w:numId w:val="2"/>
        </w:numPr>
        <w:spacing w:after="80" w:before="40"/>
      </w:pPr>
      <w:r>
        <w:rPr>
          <w:rFonts w:ascii="Times New Roman" w:cs="Times New Roman" w:eastAsia="Times New Roman" w:hAnsi="Times New Roman"/>
          <w:b w:val="false"/>
          <w:bCs w:val="false"/>
          <w:i w:val="false"/>
          <w:iCs w:val="false"/>
          <w:smallCaps w:val="false"/>
          <w:color w:val="111111"/>
          <w:sz w:val="22"/>
          <w:szCs w:val="22"/>
        </w:rPr>
        <w:t xml:space="preserve">Manual claim by user. The user initiates each claim transaction. Unclaimed portions accumulate. The user pays gas (~$0.001) and ATA rent (~0.002 SOL, refundable) on their first claim for each creator token.</w:t>
      </w:r>
    </w:p>
    <w:p>
      <w:pPr>
        <w:pStyle w:val="ListParagraph"/>
        <w:numPr>
          <w:ilvl w:val="0"/>
          <w:numId w:val="2"/>
        </w:numPr>
        <w:spacing w:after="80" w:before="40"/>
      </w:pPr>
      <w:r>
        <w:rPr>
          <w:rFonts w:ascii="Times New Roman" w:cs="Times New Roman" w:eastAsia="Times New Roman" w:hAnsi="Times New Roman"/>
          <w:b w:val="false"/>
          <w:bCs w:val="false"/>
          <w:i w:val="false"/>
          <w:iCs w:val="false"/>
          <w:smallCaps w:val="false"/>
          <w:color w:val="111111"/>
          <w:sz w:val="22"/>
          <w:szCs w:val="22"/>
        </w:rPr>
        <w:t xml:space="preserve">Platform pays locking gas. When a user earns a task reward, the platform initiates the escrow locking transaction and pays the associated gas (~$0.001). The user is not required to be online at this moment.</w:t>
      </w:r>
    </w:p>
    <w:p>
      <w:pPr>
        <w:spacing w:after="120" w:before="40" w:line="276"/>
        <w:ind w:left="720"/>
        <w:jc w:val="both"/>
      </w:pPr>
      <w:r>
        <w:rPr>
          <w:rFonts w:ascii="Times New Roman" w:cs="Times New Roman" w:eastAsia="Times New Roman" w:hAnsi="Times New Roman"/>
          <w:b/>
          <w:bCs/>
          <w:i w:val="false"/>
          <w:iCs w:val="false"/>
          <w:smallCaps w:val="false"/>
          <w:color w:val="111111"/>
          <w:sz w:val="20"/>
          <w:szCs w:val="20"/>
        </w:rPr>
        <w:t xml:space="preserve">Note: </w:t>
      </w:r>
      <w:r>
        <w:rPr>
          <w:rFonts w:ascii="Times New Roman" w:cs="Times New Roman" w:eastAsia="Times New Roman" w:hAnsi="Times New Roman"/>
          <w:b w:val="false"/>
          <w:bCs w:val="false"/>
          <w:i/>
          <w:iCs/>
          <w:smallCaps w:val="false"/>
          <w:color w:val="444444"/>
          <w:sz w:val="20"/>
          <w:szCs w:val="20"/>
        </w:rPr>
        <w:t xml:space="preserve">The post-migration vesting requirement is not a restriction imposed on task earners — it is the mechanism that aligns their incentives with the token's health. Task earners who hold locked positions want the bonding curve to fill faster (their unlock depends on it), want the DEX price to be high (their vested tokens are worth more), and want the creator to succeed (generating more tasks). This alignment is the structural purpose of the lock.</w:t>
      </w:r>
    </w:p>
    <w:p>
      <w:pPr>
        <w:pStyle w:val="Heading2"/>
        <w:spacing w:after="100" w:before="320"/>
      </w:pPr>
      <w:r>
        <w:rPr>
          <w:rFonts w:ascii="Times New Roman" w:cs="Times New Roman" w:eastAsia="Times New Roman" w:hAnsi="Times New Roman"/>
          <w:b/>
          <w:bCs/>
          <w:i w:val="false"/>
          <w:iCs w:val="false"/>
          <w:smallCaps w:val="false"/>
          <w:color w:val="111111"/>
          <w:sz w:val="24"/>
          <w:szCs w:val="24"/>
        </w:rPr>
        <w:t xml:space="preserve">13.5  Anti-Gaming Protections</w:t>
      </w:r>
    </w:p>
    <w:p>
      <w:pPr>
        <w:pStyle w:val="ListParagraph"/>
        <w:numPr>
          <w:ilvl w:val="0"/>
          <w:numId w:val="2"/>
        </w:numPr>
        <w:spacing w:after="80" w:before="40"/>
      </w:pPr>
      <w:r>
        <w:rPr>
          <w:rFonts w:ascii="Times New Roman" w:cs="Times New Roman" w:eastAsia="Times New Roman" w:hAnsi="Times New Roman"/>
          <w:b w:val="false"/>
          <w:bCs w:val="false"/>
          <w:i w:val="false"/>
          <w:iCs w:val="false"/>
          <w:smallCaps w:val="false"/>
          <w:color w:val="111111"/>
          <w:sz w:val="22"/>
          <w:szCs w:val="22"/>
        </w:rPr>
        <w:t xml:space="preserve">Social OAuth identity anchor. Each task-earning wallet is linked to a verified social account via OAuth. One verified account per wallet prevents multi-wallet farming.</w:t>
      </w:r>
    </w:p>
    <w:p>
      <w:pPr>
        <w:pStyle w:val="ListParagraph"/>
        <w:numPr>
          <w:ilvl w:val="0"/>
          <w:numId w:val="2"/>
        </w:numPr>
        <w:spacing w:after="80" w:before="40"/>
      </w:pPr>
      <w:r>
        <w:rPr>
          <w:rFonts w:ascii="Times New Roman" w:cs="Times New Roman" w:eastAsia="Times New Roman" w:hAnsi="Times New Roman"/>
          <w:b w:val="false"/>
          <w:bCs w:val="false"/>
          <w:i w:val="false"/>
          <w:iCs w:val="false"/>
          <w:smallCaps w:val="false"/>
          <w:color w:val="111111"/>
          <w:sz w:val="22"/>
          <w:szCs w:val="22"/>
        </w:rPr>
        <w:t xml:space="preserve">48-hour re-verification. Social follows are re-checked 48 hours after task completion. Verified reversal (unfollow) triggers a reputation score reduction. Two violations result in permanent task ineligibility for that wallet.</w:t>
      </w:r>
    </w:p>
    <w:p>
      <w:pPr>
        <w:pStyle w:val="ListParagraph"/>
        <w:numPr>
          <w:ilvl w:val="0"/>
          <w:numId w:val="2"/>
        </w:numPr>
        <w:spacing w:after="80" w:before="40"/>
      </w:pPr>
      <w:r>
        <w:rPr>
          <w:rFonts w:ascii="Times New Roman" w:cs="Times New Roman" w:eastAsia="Times New Roman" w:hAnsi="Times New Roman"/>
          <w:b w:val="false"/>
          <w:bCs w:val="false"/>
          <w:i w:val="false"/>
          <w:iCs w:val="false"/>
          <w:smallCaps w:val="false"/>
          <w:color w:val="111111"/>
          <w:sz w:val="22"/>
          <w:szCs w:val="22"/>
        </w:rPr>
        <w:t xml:space="preserve">Account quality requirements. Wallets linked to accounts under 30 days old or with fewer than the minimum follower threshold are ineligible for social task categories.</w:t>
      </w:r>
    </w:p>
    <w:p>
      <w:pPr>
        <w:pStyle w:val="ListParagraph"/>
        <w:numPr>
          <w:ilvl w:val="0"/>
          <w:numId w:val="2"/>
        </w:numPr>
        <w:spacing w:after="80" w:before="40"/>
      </w:pPr>
      <w:r>
        <w:rPr>
          <w:rFonts w:ascii="Times New Roman" w:cs="Times New Roman" w:eastAsia="Times New Roman" w:hAnsi="Times New Roman"/>
          <w:b w:val="false"/>
          <w:bCs w:val="false"/>
          <w:i w:val="false"/>
          <w:iCs w:val="false"/>
          <w:smallCaps w:val="false"/>
          <w:color w:val="111111"/>
          <w:sz w:val="22"/>
          <w:szCs w:val="22"/>
        </w:rPr>
        <w:t xml:space="preserve">Unique action tracking. Each wallet may complete each specific task action only once. Repeated completions of the same task are rejected at the smart contract level.</w:t>
      </w:r>
    </w:p>
    <w:p>
      <w:pPr>
        <w:pStyle w:val="ListParagraph"/>
        <w:numPr>
          <w:ilvl w:val="0"/>
          <w:numId w:val="2"/>
        </w:numPr>
        <w:spacing w:after="80" w:before="40"/>
      </w:pPr>
      <w:r>
        <w:rPr>
          <w:rFonts w:ascii="Times New Roman" w:cs="Times New Roman" w:eastAsia="Times New Roman" w:hAnsi="Times New Roman"/>
          <w:b w:val="false"/>
          <w:bCs w:val="false"/>
          <w:i w:val="false"/>
          <w:iCs w:val="false"/>
          <w:smallCaps w:val="false"/>
          <w:color w:val="111111"/>
          <w:sz w:val="22"/>
          <w:szCs w:val="22"/>
        </w:rPr>
        <w:t xml:space="preserve">Migration lock as the primary defence. Since task tokens cannot be sold until DEX migration, task earners have zero ability to dump on bonding curve buyers — the most damaging form of task economy abuse. The lock eliminates this attack vector entirely.</w:t>
      </w:r>
    </w:p>
    <w:p>
      <w:r>
        <w:br w:type="page"/>
      </w:r>
    </w:p>
    <w:p>
      <w:pPr>
        <w:pStyle w:val="Heading1"/>
        <w:pBdr>
          <w:bottom w:val="single" w:color="1A1A1A" w:sz="6" w:space="6"/>
        </w:pBdr>
        <w:spacing w:after="160" w:before="480"/>
      </w:pPr>
      <w:r>
        <w:rPr>
          <w:rFonts w:ascii="Times New Roman" w:cs="Times New Roman" w:eastAsia="Times New Roman" w:hAnsi="Times New Roman"/>
          <w:b/>
          <w:bCs/>
          <w:i w:val="false"/>
          <w:iCs w:val="false"/>
          <w:smallCaps w:val="false"/>
          <w:color w:val="111111"/>
          <w:sz w:val="28"/>
          <w:szCs w:val="28"/>
        </w:rPr>
        <w:t xml:space="preserve">14.   </w:t>
      </w:r>
      <w:r>
        <w:rPr>
          <w:rFonts w:ascii="Times New Roman" w:cs="Times New Roman" w:eastAsia="Times New Roman" w:hAnsi="Times New Roman"/>
          <w:b/>
          <w:bCs/>
          <w:i w:val="false"/>
          <w:iCs w:val="false"/>
          <w:smallCaps/>
          <w:color w:val="111111"/>
          <w:sz w:val="28"/>
          <w:szCs w:val="28"/>
        </w:rPr>
        <w:t xml:space="preserve">TOKEN HOLDER RIGHTS</w:t>
      </w:r>
    </w:p>
    <w:p>
      <w:pPr>
        <w:pStyle w:val="Heading2"/>
        <w:spacing w:after="100" w:before="320"/>
      </w:pPr>
      <w:r>
        <w:rPr>
          <w:rFonts w:ascii="Times New Roman" w:cs="Times New Roman" w:eastAsia="Times New Roman" w:hAnsi="Times New Roman"/>
          <w:b/>
          <w:bCs/>
          <w:i w:val="false"/>
          <w:iCs w:val="false"/>
          <w:smallCaps w:val="false"/>
          <w:color w:val="111111"/>
          <w:sz w:val="24"/>
          <w:szCs w:val="24"/>
        </w:rPr>
        <w:t xml:space="preserve">14.1  Economic Rights</w:t>
      </w:r>
    </w:p>
    <w:p>
      <w:pPr>
        <w:pStyle w:val="ListParagraph"/>
        <w:numPr>
          <w:ilvl w:val="0"/>
          <w:numId w:val="2"/>
        </w:numPr>
        <w:spacing w:after="80" w:before="40"/>
      </w:pPr>
      <w:r>
        <w:rPr>
          <w:rFonts w:ascii="Times New Roman" w:cs="Times New Roman" w:eastAsia="Times New Roman" w:hAnsi="Times New Roman"/>
          <w:b w:val="false"/>
          <w:bCs w:val="false"/>
          <w:i w:val="false"/>
          <w:iCs w:val="false"/>
          <w:smallCaps w:val="false"/>
          <w:color w:val="111111"/>
          <w:sz w:val="22"/>
          <w:szCs w:val="22"/>
        </w:rPr>
        <w:t xml:space="preserve">Bonding curve appreciation. Buyers at entry price $0.003 receive mathematically enforced 5× return in token terms at graduation. Mid-curve buyers at 50% fill (~$0.0067) receive approximately 2.24× at graduation.</w:t>
      </w:r>
    </w:p>
    <w:p>
      <w:pPr>
        <w:pStyle w:val="ListParagraph"/>
        <w:numPr>
          <w:ilvl w:val="0"/>
          <w:numId w:val="2"/>
        </w:numPr>
        <w:spacing w:after="80" w:before="40"/>
      </w:pPr>
      <w:r>
        <w:rPr>
          <w:rFonts w:ascii="Times New Roman" w:cs="Times New Roman" w:eastAsia="Times New Roman" w:hAnsi="Times New Roman"/>
          <w:b w:val="false"/>
          <w:bCs w:val="false"/>
          <w:i w:val="false"/>
          <w:iCs w:val="false"/>
          <w:smallCaps w:val="false"/>
          <w:color w:val="111111"/>
          <w:sz w:val="22"/>
          <w:szCs w:val="22"/>
        </w:rPr>
        <w:t xml:space="preserve">Post-DEX price appreciation. After graduation, token price is determined by open market forces on Raydium. Continued creator growth and platform income drives sustained demand.</w:t>
      </w:r>
    </w:p>
    <w:p>
      <w:pPr>
        <w:pStyle w:val="ListParagraph"/>
        <w:numPr>
          <w:ilvl w:val="0"/>
          <w:numId w:val="2"/>
        </w:numPr>
        <w:spacing w:after="80" w:before="40"/>
      </w:pPr>
      <w:r>
        <w:rPr>
          <w:rFonts w:ascii="Times New Roman" w:cs="Times New Roman" w:eastAsia="Times New Roman" w:hAnsi="Times New Roman"/>
          <w:b w:val="false"/>
          <w:bCs w:val="false"/>
          <w:i w:val="false"/>
          <w:iCs w:val="false"/>
          <w:smallCaps w:val="false"/>
          <w:color w:val="111111"/>
          <w:sz w:val="22"/>
          <w:szCs w:val="22"/>
        </w:rPr>
        <w:t xml:space="preserve">Proportional income distribution. All creator platform income distributes pro-rata to all token holders each week. A holder with 1% of supply receives 1% of that week's creator income, automatically and on-chain.</w:t>
      </w:r>
    </w:p>
    <w:p>
      <w:pPr>
        <w:pStyle w:val="ListParagraph"/>
        <w:numPr>
          <w:ilvl w:val="0"/>
          <w:numId w:val="2"/>
        </w:numPr>
        <w:spacing w:after="80" w:before="40"/>
      </w:pPr>
      <w:r>
        <w:rPr>
          <w:rFonts w:ascii="Times New Roman" w:cs="Times New Roman" w:eastAsia="Times New Roman" w:hAnsi="Times New Roman"/>
          <w:b w:val="false"/>
          <w:bCs w:val="false"/>
          <w:i w:val="false"/>
          <w:iCs w:val="false"/>
          <w:smallCaps w:val="false"/>
          <w:color w:val="111111"/>
          <w:sz w:val="22"/>
          <w:szCs w:val="22"/>
        </w:rPr>
        <w:t xml:space="preserve">Task economy earning. Token holders can participate in the creator's task marketplace, earning locked token positions by completing verified tasks.</w:t>
      </w:r>
    </w:p>
    <w:p>
      <w:pPr>
        <w:pStyle w:val="Heading2"/>
        <w:spacing w:after="100" w:before="320"/>
      </w:pPr>
      <w:r>
        <w:rPr>
          <w:rFonts w:ascii="Times New Roman" w:cs="Times New Roman" w:eastAsia="Times New Roman" w:hAnsi="Times New Roman"/>
          <w:b/>
          <w:bCs/>
          <w:i w:val="false"/>
          <w:iCs w:val="false"/>
          <w:smallCaps w:val="false"/>
          <w:color w:val="111111"/>
          <w:sz w:val="24"/>
          <w:szCs w:val="24"/>
        </w:rPr>
        <w:t xml:space="preserve">14.2  Access Rights</w:t>
      </w:r>
    </w:p>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Token holdings unlock gated community access. Thresholds are creator-defined. The platform provides the infrastructure:</w:t>
      </w:r>
    </w:p>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2000"/>
        <w:gridCol w:w="2400"/>
        <w:gridCol w:w="5000"/>
      </w:tblGrid>
      <w:tr>
        <w:trPr>
          <w:tblHeader/>
        </w:trPr>
        <w:tc>
          <w:tcPr>
            <w:tcW w:type="dxa" w:w="2000"/>
            <w:tcBorders>
              <w:top w:val="single" w:color="CCCCCC" w:sz="4"/>
              <w:left w:val="single" w:color="CCCCCC" w:sz="4"/>
              <w:bottom w:val="single" w:color="CCCCCC" w:sz="4"/>
              <w:right w:val="single" w:color="CCCCCC" w:sz="4"/>
            </w:tcBorders>
            <w:shd w:fill="1A1A1A" w:val="clear"/>
            <w:tcMar>
              <w:top w:type="dxa" w:w="80"/>
              <w:left w:type="dxa" w:w="120"/>
              <w:bottom w:type="dxa" w:w="80"/>
              <w:right w:type="dxa" w:w="120"/>
            </w:tcMar>
          </w:tcPr>
          <w:p>
            <w:pPr>
              <w:spacing w:after="0" w:before="0"/>
            </w:pPr>
            <w:r>
              <w:rPr>
                <w:rFonts w:ascii="Times New Roman" w:cs="Times New Roman" w:eastAsia="Times New Roman" w:hAnsi="Times New Roman"/>
                <w:b/>
                <w:bCs/>
                <w:i w:val="false"/>
                <w:iCs w:val="false"/>
                <w:smallCaps w:val="false"/>
                <w:color w:val="FFFFFF"/>
                <w:sz w:val="19"/>
                <w:szCs w:val="19"/>
              </w:rPr>
              <w:t xml:space="preserve">Default Tier</w:t>
            </w:r>
          </w:p>
        </w:tc>
        <w:tc>
          <w:tcPr>
            <w:tcW w:type="dxa" w:w="2400"/>
            <w:tcBorders>
              <w:top w:val="single" w:color="CCCCCC" w:sz="4"/>
              <w:left w:val="single" w:color="CCCCCC" w:sz="4"/>
              <w:bottom w:val="single" w:color="CCCCCC" w:sz="4"/>
              <w:right w:val="single" w:color="CCCCCC" w:sz="4"/>
            </w:tcBorders>
            <w:shd w:fill="1A1A1A" w:val="clear"/>
            <w:tcMar>
              <w:top w:type="dxa" w:w="80"/>
              <w:left w:type="dxa" w:w="120"/>
              <w:bottom w:type="dxa" w:w="80"/>
              <w:right w:type="dxa" w:w="120"/>
            </w:tcMar>
          </w:tcPr>
          <w:p>
            <w:pPr>
              <w:spacing w:after="0" w:before="0"/>
            </w:pPr>
            <w:r>
              <w:rPr>
                <w:rFonts w:ascii="Times New Roman" w:cs="Times New Roman" w:eastAsia="Times New Roman" w:hAnsi="Times New Roman"/>
                <w:b/>
                <w:bCs/>
                <w:i w:val="false"/>
                <w:iCs w:val="false"/>
                <w:smallCaps w:val="false"/>
                <w:color w:val="FFFFFF"/>
                <w:sz w:val="19"/>
                <w:szCs w:val="19"/>
              </w:rPr>
              <w:t xml:space="preserve">Suggested Threshold</w:t>
            </w:r>
          </w:p>
        </w:tc>
        <w:tc>
          <w:tcPr>
            <w:tcW w:type="dxa" w:w="5000"/>
            <w:tcBorders>
              <w:top w:val="single" w:color="CCCCCC" w:sz="4"/>
              <w:left w:val="single" w:color="CCCCCC" w:sz="4"/>
              <w:bottom w:val="single" w:color="CCCCCC" w:sz="4"/>
              <w:right w:val="single" w:color="CCCCCC" w:sz="4"/>
            </w:tcBorders>
            <w:shd w:fill="1A1A1A" w:val="clear"/>
            <w:tcMar>
              <w:top w:type="dxa" w:w="80"/>
              <w:left w:type="dxa" w:w="120"/>
              <w:bottom w:type="dxa" w:w="80"/>
              <w:right w:type="dxa" w:w="120"/>
            </w:tcMar>
          </w:tcPr>
          <w:p>
            <w:pPr>
              <w:spacing w:after="0" w:before="0"/>
            </w:pPr>
            <w:r>
              <w:rPr>
                <w:rFonts w:ascii="Times New Roman" w:cs="Times New Roman" w:eastAsia="Times New Roman" w:hAnsi="Times New Roman"/>
                <w:b/>
                <w:bCs/>
                <w:i w:val="false"/>
                <w:iCs w:val="false"/>
                <w:smallCaps w:val="false"/>
                <w:color w:val="FFFFFF"/>
                <w:sz w:val="19"/>
                <w:szCs w:val="19"/>
              </w:rPr>
              <w:t xml:space="preserve">Access Provided</w:t>
            </w:r>
          </w:p>
        </w:tc>
      </w:tr>
      <w:tr>
        <w:tc>
          <w:tcPr>
            <w:tcW w:type="dxa" w:w="20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Believer</w:t>
            </w:r>
          </w:p>
        </w:tc>
        <w:tc>
          <w:tcPr>
            <w:tcW w:type="dxa" w:w="24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100 or more tokens</w:t>
            </w:r>
          </w:p>
        </w:tc>
        <w:tc>
          <w:tcPr>
            <w:tcW w:type="dxa" w:w="50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Group chat channel with all token holders of this creator</w:t>
            </w:r>
          </w:p>
        </w:tc>
      </w:tr>
      <w:tr>
        <w:tc>
          <w:tcPr>
            <w:tcW w:type="dxa" w:w="20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Supporter</w:t>
            </w:r>
          </w:p>
        </w:tc>
        <w:tc>
          <w:tcPr>
            <w:tcW w:type="dxa" w:w="24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1,000 or more tokens</w:t>
            </w:r>
          </w:p>
        </w:tc>
        <w:tc>
          <w:tcPr>
            <w:tcW w:type="dxa" w:w="50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Group chat plus ability to direct message the creator</w:t>
            </w:r>
          </w:p>
        </w:tc>
      </w:tr>
      <w:tr>
        <w:tc>
          <w:tcPr>
            <w:tcW w:type="dxa" w:w="20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Champion</w:t>
            </w:r>
          </w:p>
        </w:tc>
        <w:tc>
          <w:tcPr>
            <w:tcW w:type="dxa" w:w="24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10,000 or more tokens</w:t>
            </w:r>
          </w:p>
        </w:tc>
        <w:tc>
          <w:tcPr>
            <w:tcW w:type="dxa" w:w="50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All above, plus monthly lottery for 1-on-1 creator session, plus exclusive content</w:t>
            </w:r>
          </w:p>
        </w:tc>
      </w:tr>
      <w:tr>
        <w:tc>
          <w:tcPr>
            <w:tcW w:type="dxa" w:w="20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Founding Member</w:t>
            </w:r>
          </w:p>
        </w:tc>
        <w:tc>
          <w:tcPr>
            <w:tcW w:type="dxa" w:w="24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Top 50 holders by quantity</w:t>
            </w:r>
          </w:p>
        </w:tc>
        <w:tc>
          <w:tcPr>
            <w:tcW w:type="dxa" w:w="50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All above, plus early access to creator announcements and upcoming initiatives</w:t>
            </w:r>
          </w:p>
        </w:tc>
      </w:tr>
    </w:tbl>
    <w:p>
      <w:pPr>
        <w:spacing w:after="200" w:before="40" w:line="276"/>
        <w:jc w:val="center"/>
      </w:pPr>
      <w:r>
        <w:rPr>
          <w:rFonts w:ascii="Times New Roman" w:cs="Times New Roman" w:eastAsia="Times New Roman" w:hAnsi="Times New Roman"/>
          <w:b w:val="false"/>
          <w:bCs w:val="false"/>
          <w:i/>
          <w:iCs/>
          <w:smallCaps w:val="false"/>
          <w:color w:val="666666"/>
          <w:sz w:val="18"/>
          <w:szCs w:val="18"/>
        </w:rPr>
        <w:t xml:space="preserve">Table 16. Default community access tiers. Creators may define custom thresholds and benefits.</w:t>
      </w:r>
    </w:p>
    <w:p>
      <w:pPr>
        <w:pStyle w:val="Heading2"/>
        <w:spacing w:after="100" w:before="320"/>
      </w:pPr>
      <w:r>
        <w:rPr>
          <w:rFonts w:ascii="Times New Roman" w:cs="Times New Roman" w:eastAsia="Times New Roman" w:hAnsi="Times New Roman"/>
          <w:b/>
          <w:bCs/>
          <w:i w:val="false"/>
          <w:iCs w:val="false"/>
          <w:smallCaps w:val="false"/>
          <w:color w:val="111111"/>
          <w:sz w:val="24"/>
          <w:szCs w:val="24"/>
        </w:rPr>
        <w:t xml:space="preserve">14.3  Transparency Rights</w:t>
      </w:r>
    </w:p>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Token holders receive push notifications whenever the creator claims their daily vesting release. Each notification includes the on-chain transaction reference, the quantity claimed, and the current token price. This provides real-time visibility into creator behaviour and enables informed hold or sell decisions without requiring holders to actively monitor the blockchain.</w:t>
      </w:r>
    </w:p>
    <w:p>
      <w:pPr>
        <w:pStyle w:val="Heading2"/>
        <w:spacing w:after="100" w:before="320"/>
      </w:pPr>
      <w:r>
        <w:rPr>
          <w:rFonts w:ascii="Times New Roman" w:cs="Times New Roman" w:eastAsia="Times New Roman" w:hAnsi="Times New Roman"/>
          <w:b/>
          <w:bCs/>
          <w:i w:val="false"/>
          <w:iCs w:val="false"/>
          <w:smallCaps w:val="false"/>
          <w:color w:val="111111"/>
          <w:sz w:val="24"/>
          <w:szCs w:val="24"/>
        </w:rPr>
        <w:t xml:space="preserve">14.4  Social Identity</w:t>
      </w:r>
    </w:p>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Each user's aggregate portfolio of creator token holdings constitutes their Social Net Worth — an on-chain social identity displayed on their People.market profile and ranked platform-wide. This provides a reputational dimension to token holding that complements the financial incentives.</w:t>
      </w:r>
    </w:p>
    <w:p>
      <w:r>
        <w:br w:type="page"/>
      </w:r>
    </w:p>
    <w:p>
      <w:pPr>
        <w:pStyle w:val="Heading1"/>
        <w:pBdr>
          <w:bottom w:val="single" w:color="1A1A1A" w:sz="6" w:space="6"/>
        </w:pBdr>
        <w:spacing w:after="160" w:before="480"/>
      </w:pPr>
      <w:r>
        <w:rPr>
          <w:rFonts w:ascii="Times New Roman" w:cs="Times New Roman" w:eastAsia="Times New Roman" w:hAnsi="Times New Roman"/>
          <w:b/>
          <w:bCs/>
          <w:i w:val="false"/>
          <w:iCs w:val="false"/>
          <w:smallCaps w:val="false"/>
          <w:color w:val="111111"/>
          <w:sz w:val="28"/>
          <w:szCs w:val="28"/>
        </w:rPr>
        <w:t xml:space="preserve">15.   </w:t>
      </w:r>
      <w:r>
        <w:rPr>
          <w:rFonts w:ascii="Times New Roman" w:cs="Times New Roman" w:eastAsia="Times New Roman" w:hAnsi="Times New Roman"/>
          <w:b/>
          <w:bCs/>
          <w:i w:val="false"/>
          <w:iCs w:val="false"/>
          <w:smallCaps/>
          <w:color w:val="111111"/>
          <w:sz w:val="28"/>
          <w:szCs w:val="28"/>
        </w:rPr>
        <w:t xml:space="preserve">MARKET CAP AND TOKEN METRICS</w:t>
      </w:r>
    </w:p>
    <w:p>
      <w:pPr>
        <w:pStyle w:val="Heading2"/>
        <w:spacing w:after="100" w:before="320"/>
      </w:pPr>
      <w:r>
        <w:rPr>
          <w:rFonts w:ascii="Times New Roman" w:cs="Times New Roman" w:eastAsia="Times New Roman" w:hAnsi="Times New Roman"/>
          <w:b/>
          <w:bCs/>
          <w:i w:val="false"/>
          <w:iCs w:val="false"/>
          <w:smallCaps w:val="false"/>
          <w:color w:val="111111"/>
          <w:sz w:val="24"/>
          <w:szCs w:val="24"/>
        </w:rPr>
        <w:t xml:space="preserve">15.1  Definitions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3600"/>
        <w:gridCol w:w="3160"/>
      </w:tblGrid>
      <w:tr>
        <w:trPr>
          <w:tblHeader/>
        </w:trPr>
        <w:tc>
          <w:tcPr>
            <w:tcW w:type="dxa" w:w="2600"/>
            <w:tcBorders>
              <w:top w:val="single" w:color="CCCCCC" w:sz="4"/>
              <w:left w:val="single" w:color="CCCCCC" w:sz="4"/>
              <w:bottom w:val="single" w:color="CCCCCC" w:sz="4"/>
              <w:right w:val="single" w:color="CCCCCC" w:sz="4"/>
            </w:tcBorders>
            <w:shd w:fill="1A1A1A" w:val="clear"/>
            <w:tcMar>
              <w:top w:type="dxa" w:w="80"/>
              <w:left w:type="dxa" w:w="120"/>
              <w:bottom w:type="dxa" w:w="80"/>
              <w:right w:type="dxa" w:w="120"/>
            </w:tcMar>
          </w:tcPr>
          <w:p>
            <w:pPr>
              <w:spacing w:after="0" w:before="0"/>
            </w:pPr>
            <w:r>
              <w:rPr>
                <w:rFonts w:ascii="Times New Roman" w:cs="Times New Roman" w:eastAsia="Times New Roman" w:hAnsi="Times New Roman"/>
                <w:b/>
                <w:bCs/>
                <w:i w:val="false"/>
                <w:iCs w:val="false"/>
                <w:smallCaps w:val="false"/>
                <w:color w:val="FFFFFF"/>
                <w:sz w:val="19"/>
                <w:szCs w:val="19"/>
              </w:rPr>
              <w:t xml:space="preserve">Metric</w:t>
            </w:r>
          </w:p>
        </w:tc>
        <w:tc>
          <w:tcPr>
            <w:tcW w:type="dxa" w:w="3600"/>
            <w:tcBorders>
              <w:top w:val="single" w:color="CCCCCC" w:sz="4"/>
              <w:left w:val="single" w:color="CCCCCC" w:sz="4"/>
              <w:bottom w:val="single" w:color="CCCCCC" w:sz="4"/>
              <w:right w:val="single" w:color="CCCCCC" w:sz="4"/>
            </w:tcBorders>
            <w:shd w:fill="1A1A1A" w:val="clear"/>
            <w:tcMar>
              <w:top w:type="dxa" w:w="80"/>
              <w:left w:type="dxa" w:w="120"/>
              <w:bottom w:type="dxa" w:w="80"/>
              <w:right w:type="dxa" w:w="120"/>
            </w:tcMar>
          </w:tcPr>
          <w:p>
            <w:pPr>
              <w:spacing w:after="0" w:before="0"/>
            </w:pPr>
            <w:r>
              <w:rPr>
                <w:rFonts w:ascii="Times New Roman" w:cs="Times New Roman" w:eastAsia="Times New Roman" w:hAnsi="Times New Roman"/>
                <w:b/>
                <w:bCs/>
                <w:i w:val="false"/>
                <w:iCs w:val="false"/>
                <w:smallCaps w:val="false"/>
                <w:color w:val="FFFFFF"/>
                <w:sz w:val="19"/>
                <w:szCs w:val="19"/>
              </w:rPr>
              <w:t xml:space="preserve">Formula</w:t>
            </w:r>
          </w:p>
        </w:tc>
        <w:tc>
          <w:tcPr>
            <w:tcW w:type="dxa" w:w="3160"/>
            <w:tcBorders>
              <w:top w:val="single" w:color="CCCCCC" w:sz="4"/>
              <w:left w:val="single" w:color="CCCCCC" w:sz="4"/>
              <w:bottom w:val="single" w:color="CCCCCC" w:sz="4"/>
              <w:right w:val="single" w:color="CCCCCC" w:sz="4"/>
            </w:tcBorders>
            <w:shd w:fill="1A1A1A" w:val="clear"/>
            <w:tcMar>
              <w:top w:type="dxa" w:w="80"/>
              <w:left w:type="dxa" w:w="120"/>
              <w:bottom w:type="dxa" w:w="80"/>
              <w:right w:type="dxa" w:w="120"/>
            </w:tcMar>
          </w:tcPr>
          <w:p>
            <w:pPr>
              <w:spacing w:after="0" w:before="0"/>
            </w:pPr>
            <w:r>
              <w:rPr>
                <w:rFonts w:ascii="Times New Roman" w:cs="Times New Roman" w:eastAsia="Times New Roman" w:hAnsi="Times New Roman"/>
                <w:b/>
                <w:bCs/>
                <w:i w:val="false"/>
                <w:iCs w:val="false"/>
                <w:smallCaps w:val="false"/>
                <w:color w:val="FFFFFF"/>
                <w:sz w:val="19"/>
                <w:szCs w:val="19"/>
              </w:rPr>
              <w:t xml:space="preserve">Day-1 Value (at $0.015)</w:t>
            </w:r>
          </w:p>
        </w:tc>
      </w:tr>
      <w:tr>
        <w:tc>
          <w:tcPr>
            <w:tcW w:type="dxa" w:w="26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Circulating supply</w:t>
            </w:r>
          </w:p>
        </w:tc>
        <w:tc>
          <w:tcPr>
            <w:tcW w:type="dxa" w:w="36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Public buyer tokens + LP pool tokens</w:t>
            </w:r>
          </w:p>
        </w:tc>
        <w:tc>
          <w:tcPr>
            <w:tcW w:type="dxa" w:w="316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20,000,000 + 10,730,000 = 30,730,000</w:t>
            </w:r>
          </w:p>
        </w:tc>
      </w:tr>
      <w:tr>
        <w:tc>
          <w:tcPr>
            <w:tcW w:type="dxa" w:w="26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Market capitalisation</w:t>
            </w:r>
          </w:p>
        </w:tc>
        <w:tc>
          <w:tcPr>
            <w:tcW w:type="dxa" w:w="36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Current price × Circulating supply</w:t>
            </w:r>
          </w:p>
        </w:tc>
        <w:tc>
          <w:tcPr>
            <w:tcW w:type="dxa" w:w="316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$0.015 × 30,730,000 = $460,950</w:t>
            </w:r>
          </w:p>
        </w:tc>
      </w:tr>
      <w:tr>
        <w:tc>
          <w:tcPr>
            <w:tcW w:type="dxa" w:w="26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Fully diluted valuation (FDV)</w:t>
            </w:r>
          </w:p>
        </w:tc>
        <w:tc>
          <w:tcPr>
            <w:tcW w:type="dxa" w:w="36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Current price × Total supply (100M)</w:t>
            </w:r>
          </w:p>
        </w:tc>
        <w:tc>
          <w:tcPr>
            <w:tcW w:type="dxa" w:w="316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$0.015 × 100,000,000 = $1,500,000</w:t>
            </w:r>
          </w:p>
        </w:tc>
      </w:tr>
      <w:tr>
        <w:tc>
          <w:tcPr>
            <w:tcW w:type="dxa" w:w="26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FDV / Market cap ratio</w:t>
            </w:r>
          </w:p>
        </w:tc>
        <w:tc>
          <w:tcPr>
            <w:tcW w:type="dxa" w:w="36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FDV / Market cap</w:t>
            </w:r>
          </w:p>
        </w:tc>
        <w:tc>
          <w:tcPr>
            <w:tcW w:type="dxa" w:w="316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$1,500,000 / $460,950 = 3.26×</w:t>
            </w:r>
          </w:p>
        </w:tc>
      </w:tr>
    </w:tbl>
    <w:p>
      <w:pPr>
        <w:spacing w:after="200" w:before="40" w:line="276"/>
        <w:jc w:val="center"/>
      </w:pPr>
      <w:r>
        <w:rPr>
          <w:rFonts w:ascii="Times New Roman" w:cs="Times New Roman" w:eastAsia="Times New Roman" w:hAnsi="Times New Roman"/>
          <w:b w:val="false"/>
          <w:bCs w:val="false"/>
          <w:i/>
          <w:iCs/>
          <w:smallCaps w:val="false"/>
          <w:color w:val="666666"/>
          <w:sz w:val="18"/>
          <w:szCs w:val="18"/>
        </w:rPr>
        <w:t xml:space="preserve">Table 17. Market cap metrics at graduation day 1.</w:t>
      </w:r>
    </w:p>
    <w:p>
      <w:pPr>
        <w:pStyle w:val="Heading2"/>
        <w:spacing w:after="100" w:before="320"/>
      </w:pPr>
      <w:r>
        <w:rPr>
          <w:rFonts w:ascii="Times New Roman" w:cs="Times New Roman" w:eastAsia="Times New Roman" w:hAnsi="Times New Roman"/>
          <w:b/>
          <w:bCs/>
          <w:i w:val="false"/>
          <w:iCs w:val="false"/>
          <w:smallCaps w:val="false"/>
          <w:color w:val="111111"/>
          <w:sz w:val="24"/>
          <w:szCs w:val="24"/>
        </w:rPr>
        <w:t xml:space="preserve">15.2  Treatment of Non-Circulating Tokens</w:t>
      </w:r>
    </w:p>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Creator vesting tokens (67,270,000), task tokens in escrow (2,000,000), and task tokens in active vesting but not yet claimed are excluded from circulating supply. Task tokens become circulating at the moment they are claimable (i.e., when the monthly vesting tranche unlocks), regardless of whether the user has initiated the claim transaction.</w:t>
      </w:r>
    </w:p>
    <w:p>
      <w:pPr>
        <w:pStyle w:val="Heading2"/>
        <w:spacing w:after="100" w:before="320"/>
      </w:pPr>
      <w:r>
        <w:rPr>
          <w:rFonts w:ascii="Times New Roman" w:cs="Times New Roman" w:eastAsia="Times New Roman" w:hAnsi="Times New Roman"/>
          <w:b/>
          <w:bCs/>
          <w:i w:val="false"/>
          <w:iCs w:val="false"/>
          <w:smallCaps w:val="false"/>
          <w:color w:val="111111"/>
          <w:sz w:val="24"/>
          <w:szCs w:val="24"/>
        </w:rPr>
        <w:t xml:space="preserve">15.3  FDV/Market Cap Interpretation</w:t>
      </w:r>
    </w:p>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The 3.26× FDV/Market Cap ratio at graduation reflects the fact that 69% of total supply is locked in the creator's vesting contract. The daily dilution from this vesting is 4,485 / 30,730,000 = 0.0146% per day. This is smaller than the typical day-over-day price volatility that will characterise active creator tokens. The ratio is therefore a signal of structural lock-up, not imminent dilutionary pressure.</w:t>
      </w:r>
    </w:p>
    <w:p>
      <w:r>
        <w:br w:type="page"/>
      </w:r>
    </w:p>
    <w:p>
      <w:pPr>
        <w:pStyle w:val="Heading1"/>
        <w:pBdr>
          <w:bottom w:val="single" w:color="1A1A1A" w:sz="6" w:space="6"/>
        </w:pBdr>
        <w:spacing w:after="160" w:before="480"/>
      </w:pPr>
      <w:r>
        <w:rPr>
          <w:rFonts w:ascii="Times New Roman" w:cs="Times New Roman" w:eastAsia="Times New Roman" w:hAnsi="Times New Roman"/>
          <w:b/>
          <w:bCs/>
          <w:i w:val="false"/>
          <w:iCs w:val="false"/>
          <w:smallCaps w:val="false"/>
          <w:color w:val="111111"/>
          <w:sz w:val="28"/>
          <w:szCs w:val="28"/>
        </w:rPr>
        <w:t xml:space="preserve">16.   </w:t>
      </w:r>
      <w:r>
        <w:rPr>
          <w:rFonts w:ascii="Times New Roman" w:cs="Times New Roman" w:eastAsia="Times New Roman" w:hAnsi="Times New Roman"/>
          <w:b/>
          <w:bCs/>
          <w:i w:val="false"/>
          <w:iCs w:val="false"/>
          <w:smallCaps/>
          <w:color w:val="111111"/>
          <w:sz w:val="28"/>
          <w:szCs w:val="28"/>
        </w:rPr>
        <w:t xml:space="preserve">GO-TO-MARKET STRATEGY</w:t>
      </w:r>
    </w:p>
    <w:p>
      <w:pPr>
        <w:pStyle w:val="Heading2"/>
        <w:spacing w:after="100" w:before="320"/>
      </w:pPr>
      <w:r>
        <w:rPr>
          <w:rFonts w:ascii="Times New Roman" w:cs="Times New Roman" w:eastAsia="Times New Roman" w:hAnsi="Times New Roman"/>
          <w:b/>
          <w:bCs/>
          <w:i w:val="false"/>
          <w:iCs w:val="false"/>
          <w:smallCaps w:val="false"/>
          <w:color w:val="111111"/>
          <w:sz w:val="24"/>
          <w:szCs w:val="24"/>
        </w:rPr>
        <w:t xml:space="preserve">16.1  Principle</w:t>
      </w:r>
    </w:p>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Every failed SocialFi platform built waitlists of airdrop farmers rather than communities of genuine users. Pre-launch incentive systems attract participants who optimise for rewards rather than those who want to use the product. People.market launches with a curated cohort of 15 to 25 personally selected creators, each treated as a distinct launch event.</w:t>
      </w:r>
    </w:p>
    <w:p>
      <w:pPr>
        <w:pStyle w:val="Heading2"/>
        <w:spacing w:after="100" w:before="320"/>
      </w:pPr>
      <w:r>
        <w:rPr>
          <w:rFonts w:ascii="Times New Roman" w:cs="Times New Roman" w:eastAsia="Times New Roman" w:hAnsi="Times New Roman"/>
          <w:b/>
          <w:bCs/>
          <w:i w:val="false"/>
          <w:iCs w:val="false"/>
          <w:smallCaps w:val="false"/>
          <w:color w:val="111111"/>
          <w:sz w:val="24"/>
          <w:szCs w:val="24"/>
        </w:rPr>
        <w:t xml:space="preserve">16.2  Phase Roadmap</w:t>
      </w:r>
    </w:p>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1800"/>
        <w:gridCol w:w="1800"/>
        <w:gridCol w:w="2800"/>
        <w:gridCol w:w="3000"/>
      </w:tblGrid>
      <w:tr>
        <w:trPr>
          <w:tblHeader/>
        </w:trPr>
        <w:tc>
          <w:tcPr>
            <w:tcW w:type="dxa" w:w="1800"/>
            <w:tcBorders>
              <w:top w:val="single" w:color="CCCCCC" w:sz="4"/>
              <w:left w:val="single" w:color="CCCCCC" w:sz="4"/>
              <w:bottom w:val="single" w:color="CCCCCC" w:sz="4"/>
              <w:right w:val="single" w:color="CCCCCC" w:sz="4"/>
            </w:tcBorders>
            <w:shd w:fill="1A1A1A" w:val="clear"/>
            <w:tcMar>
              <w:top w:type="dxa" w:w="80"/>
              <w:left w:type="dxa" w:w="120"/>
              <w:bottom w:type="dxa" w:w="80"/>
              <w:right w:type="dxa" w:w="120"/>
            </w:tcMar>
          </w:tcPr>
          <w:p>
            <w:pPr>
              <w:spacing w:after="0" w:before="0"/>
            </w:pPr>
            <w:r>
              <w:rPr>
                <w:rFonts w:ascii="Times New Roman" w:cs="Times New Roman" w:eastAsia="Times New Roman" w:hAnsi="Times New Roman"/>
                <w:b/>
                <w:bCs/>
                <w:i w:val="false"/>
                <w:iCs w:val="false"/>
                <w:smallCaps w:val="false"/>
                <w:color w:val="FFFFFF"/>
                <w:sz w:val="19"/>
                <w:szCs w:val="19"/>
              </w:rPr>
              <w:t xml:space="preserve">Phase</w:t>
            </w:r>
          </w:p>
        </w:tc>
        <w:tc>
          <w:tcPr>
            <w:tcW w:type="dxa" w:w="1800"/>
            <w:tcBorders>
              <w:top w:val="single" w:color="CCCCCC" w:sz="4"/>
              <w:left w:val="single" w:color="CCCCCC" w:sz="4"/>
              <w:bottom w:val="single" w:color="CCCCCC" w:sz="4"/>
              <w:right w:val="single" w:color="CCCCCC" w:sz="4"/>
            </w:tcBorders>
            <w:shd w:fill="1A1A1A" w:val="clear"/>
            <w:tcMar>
              <w:top w:type="dxa" w:w="80"/>
              <w:left w:type="dxa" w:w="120"/>
              <w:bottom w:type="dxa" w:w="80"/>
              <w:right w:type="dxa" w:w="120"/>
            </w:tcMar>
          </w:tcPr>
          <w:p>
            <w:pPr>
              <w:spacing w:after="0" w:before="0"/>
            </w:pPr>
            <w:r>
              <w:rPr>
                <w:rFonts w:ascii="Times New Roman" w:cs="Times New Roman" w:eastAsia="Times New Roman" w:hAnsi="Times New Roman"/>
                <w:b/>
                <w:bCs/>
                <w:i w:val="false"/>
                <w:iCs w:val="false"/>
                <w:smallCaps w:val="false"/>
                <w:color w:val="FFFFFF"/>
                <w:sz w:val="19"/>
                <w:szCs w:val="19"/>
              </w:rPr>
              <w:t xml:space="preserve">Timeline</w:t>
            </w:r>
          </w:p>
        </w:tc>
        <w:tc>
          <w:tcPr>
            <w:tcW w:type="dxa" w:w="2800"/>
            <w:tcBorders>
              <w:top w:val="single" w:color="CCCCCC" w:sz="4"/>
              <w:left w:val="single" w:color="CCCCCC" w:sz="4"/>
              <w:bottom w:val="single" w:color="CCCCCC" w:sz="4"/>
              <w:right w:val="single" w:color="CCCCCC" w:sz="4"/>
            </w:tcBorders>
            <w:shd w:fill="1A1A1A" w:val="clear"/>
            <w:tcMar>
              <w:top w:type="dxa" w:w="80"/>
              <w:left w:type="dxa" w:w="120"/>
              <w:bottom w:type="dxa" w:w="80"/>
              <w:right w:type="dxa" w:w="120"/>
            </w:tcMar>
          </w:tcPr>
          <w:p>
            <w:pPr>
              <w:spacing w:after="0" w:before="0"/>
            </w:pPr>
            <w:r>
              <w:rPr>
                <w:rFonts w:ascii="Times New Roman" w:cs="Times New Roman" w:eastAsia="Times New Roman" w:hAnsi="Times New Roman"/>
                <w:b/>
                <w:bCs/>
                <w:i w:val="false"/>
                <w:iCs w:val="false"/>
                <w:smallCaps w:val="false"/>
                <w:color w:val="FFFFFF"/>
                <w:sz w:val="19"/>
                <w:szCs w:val="19"/>
              </w:rPr>
              <w:t xml:space="preserve">Objective</w:t>
            </w:r>
          </w:p>
        </w:tc>
        <w:tc>
          <w:tcPr>
            <w:tcW w:type="dxa" w:w="3000"/>
            <w:tcBorders>
              <w:top w:val="single" w:color="CCCCCC" w:sz="4"/>
              <w:left w:val="single" w:color="CCCCCC" w:sz="4"/>
              <w:bottom w:val="single" w:color="CCCCCC" w:sz="4"/>
              <w:right w:val="single" w:color="CCCCCC" w:sz="4"/>
            </w:tcBorders>
            <w:shd w:fill="1A1A1A" w:val="clear"/>
            <w:tcMar>
              <w:top w:type="dxa" w:w="80"/>
              <w:left w:type="dxa" w:w="120"/>
              <w:bottom w:type="dxa" w:w="80"/>
              <w:right w:type="dxa" w:w="120"/>
            </w:tcMar>
          </w:tcPr>
          <w:p>
            <w:pPr>
              <w:spacing w:after="0" w:before="0"/>
            </w:pPr>
            <w:r>
              <w:rPr>
                <w:rFonts w:ascii="Times New Roman" w:cs="Times New Roman" w:eastAsia="Times New Roman" w:hAnsi="Times New Roman"/>
                <w:b/>
                <w:bCs/>
                <w:i w:val="false"/>
                <w:iCs w:val="false"/>
                <w:smallCaps w:val="false"/>
                <w:color w:val="FFFFFF"/>
                <w:sz w:val="19"/>
                <w:szCs w:val="19"/>
              </w:rPr>
              <w:t xml:space="preserve">Success Condition</w:t>
            </w:r>
          </w:p>
        </w:tc>
      </w:tr>
      <w:tr>
        <w:tc>
          <w:tcPr>
            <w:tcW w:type="dxa" w:w="18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0 — Foundation</w:t>
            </w:r>
          </w:p>
        </w:tc>
        <w:tc>
          <w:tcPr>
            <w:tcW w:type="dxa" w:w="18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Now – Q2 2026</w:t>
            </w:r>
          </w:p>
        </w:tc>
        <w:tc>
          <w:tcPr>
            <w:tcW w:type="dxa" w:w="28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Complete audit, secure founding creators, finalise legal review</w:t>
            </w:r>
          </w:p>
        </w:tc>
        <w:tc>
          <w:tcPr>
            <w:tcW w:type="dxa" w:w="30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Audit passed. 15+ creators confirmed. Legal opinion received.</w:t>
            </w:r>
          </w:p>
        </w:tc>
      </w:tr>
      <w:tr>
        <w:tc>
          <w:tcPr>
            <w:tcW w:type="dxa" w:w="18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1 — Launch</w:t>
            </w:r>
          </w:p>
        </w:tc>
        <w:tc>
          <w:tcPr>
            <w:tcW w:type="dxa" w:w="18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Q3 2026</w:t>
            </w:r>
          </w:p>
        </w:tc>
        <w:tc>
          <w:tcPr>
            <w:tcW w:type="dxa" w:w="28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Platform live with founding creator cohort. All core features active.</w:t>
            </w:r>
          </w:p>
        </w:tc>
        <w:tc>
          <w:tcPr>
            <w:tcW w:type="dxa" w:w="30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15–25 creator tokens live. Task economy active. First bonding curve trades.</w:t>
            </w:r>
          </w:p>
        </w:tc>
      </w:tr>
      <w:tr>
        <w:tc>
          <w:tcPr>
            <w:tcW w:type="dxa" w:w="18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2 — Growth</w:t>
            </w:r>
          </w:p>
        </w:tc>
        <w:tc>
          <w:tcPr>
            <w:tcW w:type="dxa" w:w="18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Q4 2026 – Q1 2027</w:t>
            </w:r>
          </w:p>
        </w:tc>
        <w:tc>
          <w:tcPr>
            <w:tcW w:type="dxa" w:w="28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Application-based onboarding. First DEX graduations. Income sharing live.</w:t>
            </w:r>
          </w:p>
        </w:tc>
        <w:tc>
          <w:tcPr>
            <w:tcW w:type="dxa" w:w="30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10+ graduating tokens. Weekly income distributions active. $100K+ annualised revenue.</w:t>
            </w:r>
          </w:p>
        </w:tc>
      </w:tr>
      <w:tr>
        <w:tc>
          <w:tcPr>
            <w:tcW w:type="dxa" w:w="18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3 — Scale</w:t>
            </w:r>
          </w:p>
        </w:tc>
        <w:tc>
          <w:tcPr>
            <w:tcW w:type="dxa" w:w="18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Q2 – Q4 2027</w:t>
            </w:r>
          </w:p>
        </w:tc>
        <w:tc>
          <w:tcPr>
            <w:tcW w:type="dxa" w:w="28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50+ active tokens, 10,000+ monthly active users, international expansion.</w:t>
            </w:r>
          </w:p>
        </w:tc>
        <w:tc>
          <w:tcPr>
            <w:tcW w:type="dxa" w:w="30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$500K–$5M annualised revenue. Multi-region presence.</w:t>
            </w:r>
          </w:p>
        </w:tc>
      </w:tr>
      <w:tr>
        <w:tc>
          <w:tcPr>
            <w:tcW w:type="dxa" w:w="18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4 — Maturity</w:t>
            </w:r>
          </w:p>
        </w:tc>
        <w:tc>
          <w:tcPr>
            <w:tcW w:type="dxa" w:w="18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2028+</w:t>
            </w:r>
          </w:p>
        </w:tc>
        <w:tc>
          <w:tcPr>
            <w:tcW w:type="dxa" w:w="28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$PEOPLE token, DAO governance, platform API, potential own DEX infrastructure.</w:t>
            </w:r>
          </w:p>
        </w:tc>
        <w:tc>
          <w:tcPr>
            <w:tcW w:type="dxa" w:w="30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$5M+ annualised revenue confirmed. $PEOPLE token governance live.</w:t>
            </w:r>
          </w:p>
        </w:tc>
      </w:tr>
    </w:tbl>
    <w:p>
      <w:pPr>
        <w:spacing w:after="200" w:before="40" w:line="276"/>
        <w:jc w:val="center"/>
      </w:pPr>
      <w:r>
        <w:rPr>
          <w:rFonts w:ascii="Times New Roman" w:cs="Times New Roman" w:eastAsia="Times New Roman" w:hAnsi="Times New Roman"/>
          <w:b w:val="false"/>
          <w:bCs w:val="false"/>
          <w:i/>
          <w:iCs/>
          <w:smallCaps w:val="false"/>
          <w:color w:val="666666"/>
          <w:sz w:val="18"/>
          <w:szCs w:val="18"/>
        </w:rPr>
        <w:t xml:space="preserve">Table 18. Go-to-market phase roadmap.</w:t>
      </w:r>
    </w:p>
    <w:p>
      <w:pPr>
        <w:pStyle w:val="Heading2"/>
        <w:spacing w:after="100" w:before="320"/>
      </w:pPr>
      <w:r>
        <w:rPr>
          <w:rFonts w:ascii="Times New Roman" w:cs="Times New Roman" w:eastAsia="Times New Roman" w:hAnsi="Times New Roman"/>
          <w:b/>
          <w:bCs/>
          <w:i w:val="false"/>
          <w:iCs w:val="false"/>
          <w:smallCaps w:val="false"/>
          <w:color w:val="111111"/>
          <w:sz w:val="24"/>
          <w:szCs w:val="24"/>
        </w:rPr>
        <w:t xml:space="preserve">16.3  Beachhead Market</w:t>
      </w:r>
    </w:p>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India is the primary beachhead market, chosen for three strategic reasons: the largest English-language creator economy in Asia with material crypto adoption, established founder credibility within the Indian startup and crypto ecosystem, and a large underserved population of crypto-aware users seeking SocialFi products designed for their market context. International expansion follows demonstrated traction in India.</w:t>
      </w:r>
    </w:p>
    <w:p>
      <w:pPr>
        <w:pStyle w:val="Heading2"/>
        <w:spacing w:after="100" w:before="320"/>
      </w:pPr>
      <w:r>
        <w:rPr>
          <w:rFonts w:ascii="Times New Roman" w:cs="Times New Roman" w:eastAsia="Times New Roman" w:hAnsi="Times New Roman"/>
          <w:b/>
          <w:bCs/>
          <w:i w:val="false"/>
          <w:iCs w:val="false"/>
          <w:smallCaps w:val="false"/>
          <w:color w:val="111111"/>
          <w:sz w:val="24"/>
          <w:szCs w:val="24"/>
        </w:rPr>
        <w:t xml:space="preserve">16.4  Creator Acquisition</w:t>
      </w:r>
    </w:p>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Platform growth is driven by creator quality rather than creator volume. The founding cohort of 15 to 25 creators is selected across three categories: crypto-native influencers with 10,000 to 500,000 followers (to establish platform credibility within the crypto community), Indian creators across YouTube and Instagram (to establish the primary beachhead), and international creators to signal global positioning. Each founding creator receives a first-launch fee waiver, dedicated onboarding support, and designated launch promotion.</w:t>
      </w:r>
    </w:p>
    <w:p>
      <w:r>
        <w:br w:type="page"/>
      </w:r>
    </w:p>
    <w:p>
      <w:pPr>
        <w:pStyle w:val="Heading1"/>
        <w:pBdr>
          <w:bottom w:val="single" w:color="1A1A1A" w:sz="6" w:space="6"/>
        </w:pBdr>
        <w:spacing w:after="160" w:before="480"/>
      </w:pPr>
      <w:r>
        <w:rPr>
          <w:rFonts w:ascii="Times New Roman" w:cs="Times New Roman" w:eastAsia="Times New Roman" w:hAnsi="Times New Roman"/>
          <w:b/>
          <w:bCs/>
          <w:i w:val="false"/>
          <w:iCs w:val="false"/>
          <w:smallCaps w:val="false"/>
          <w:color w:val="111111"/>
          <w:sz w:val="28"/>
          <w:szCs w:val="28"/>
        </w:rPr>
        <w:t xml:space="preserve">17.   </w:t>
      </w:r>
      <w:r>
        <w:rPr>
          <w:rFonts w:ascii="Times New Roman" w:cs="Times New Roman" w:eastAsia="Times New Roman" w:hAnsi="Times New Roman"/>
          <w:b/>
          <w:bCs/>
          <w:i w:val="false"/>
          <w:iCs w:val="false"/>
          <w:smallCaps/>
          <w:color w:val="111111"/>
          <w:sz w:val="28"/>
          <w:szCs w:val="28"/>
        </w:rPr>
        <w:t xml:space="preserve">TOKEN UTILITY STATEMENT</w:t>
      </w:r>
    </w:p>
    <w:p>
      <w:pPr>
        <w:pStyle w:val="Heading2"/>
        <w:spacing w:after="100" w:before="320"/>
      </w:pPr>
      <w:r>
        <w:rPr>
          <w:rFonts w:ascii="Times New Roman" w:cs="Times New Roman" w:eastAsia="Times New Roman" w:hAnsi="Times New Roman"/>
          <w:b/>
          <w:bCs/>
          <w:i w:val="false"/>
          <w:iCs w:val="false"/>
          <w:smallCaps w:val="false"/>
          <w:color w:val="111111"/>
          <w:sz w:val="24"/>
          <w:szCs w:val="24"/>
        </w:rPr>
        <w:t xml:space="preserve">17.1  Nature</w:t>
      </w:r>
    </w:p>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Creator tokens on People.market are utility tokens representing participation rights, community membership rights, and income distribution rights within a specific creator's ecosystem. They are not issued by People.market. They are issued by individual creators using People.market's on-chain infrastructure. Each creator token is independent of every other creator token and independent of the $PEOPLE platform token.</w:t>
      </w:r>
    </w:p>
    <w:p>
      <w:pPr>
        <w:pStyle w:val="Heading2"/>
        <w:spacing w:after="100" w:before="320"/>
      </w:pPr>
      <w:r>
        <w:rPr>
          <w:rFonts w:ascii="Times New Roman" w:cs="Times New Roman" w:eastAsia="Times New Roman" w:hAnsi="Times New Roman"/>
          <w:b/>
          <w:bCs/>
          <w:i w:val="false"/>
          <w:iCs w:val="false"/>
          <w:smallCaps w:val="false"/>
          <w:color w:val="111111"/>
          <w:sz w:val="24"/>
          <w:szCs w:val="24"/>
        </w:rPr>
        <w:t xml:space="preserve">17.2  Defined Utility Functions</w:t>
      </w:r>
    </w:p>
    <w:p>
      <w:pPr>
        <w:pStyle w:val="ListParagraph"/>
        <w:numPr>
          <w:ilvl w:val="0"/>
          <w:numId w:val="3"/>
        </w:numPr>
        <w:spacing w:after="80" w:before="40"/>
      </w:pPr>
      <w:r>
        <w:rPr>
          <w:rFonts w:ascii="Times New Roman" w:cs="Times New Roman" w:eastAsia="Times New Roman" w:hAnsi="Times New Roman"/>
          <w:b w:val="false"/>
          <w:bCs w:val="false"/>
          <w:i w:val="false"/>
          <w:iCs w:val="false"/>
          <w:smallCaps w:val="false"/>
          <w:color w:val="111111"/>
          <w:sz w:val="22"/>
          <w:szCs w:val="22"/>
        </w:rPr>
        <w:t xml:space="preserve">Community access. Token holdings unlock tiered access to creator-defined community features including group communication channels, direct messaging capabilities, and exclusive content as determined by the creator using People.market's gating infrastructure.</w:t>
      </w:r>
    </w:p>
    <w:p>
      <w:pPr>
        <w:pStyle w:val="ListParagraph"/>
        <w:numPr>
          <w:ilvl w:val="0"/>
          <w:numId w:val="3"/>
        </w:numPr>
        <w:spacing w:after="80" w:before="40"/>
      </w:pPr>
      <w:r>
        <w:rPr>
          <w:rFonts w:ascii="Times New Roman" w:cs="Times New Roman" w:eastAsia="Times New Roman" w:hAnsi="Times New Roman"/>
          <w:b w:val="false"/>
          <w:bCs w:val="false"/>
          <w:i w:val="false"/>
          <w:iCs w:val="false"/>
          <w:smallCaps w:val="false"/>
          <w:color w:val="111111"/>
          <w:sz w:val="22"/>
          <w:szCs w:val="22"/>
        </w:rPr>
        <w:t xml:space="preserve">Task marketplace participation. Token holders are eligible to participate in the creator's task ecosystem, completing verified tasks to earn additional locked creator token positions.</w:t>
      </w:r>
    </w:p>
    <w:p>
      <w:pPr>
        <w:pStyle w:val="ListParagraph"/>
        <w:numPr>
          <w:ilvl w:val="0"/>
          <w:numId w:val="3"/>
        </w:numPr>
        <w:spacing w:after="80" w:before="40"/>
      </w:pPr>
      <w:r>
        <w:rPr>
          <w:rFonts w:ascii="Times New Roman" w:cs="Times New Roman" w:eastAsia="Times New Roman" w:hAnsi="Times New Roman"/>
          <w:b w:val="false"/>
          <w:bCs w:val="false"/>
          <w:i w:val="false"/>
          <w:iCs w:val="false"/>
          <w:smallCaps w:val="false"/>
          <w:color w:val="111111"/>
          <w:sz w:val="22"/>
          <w:szCs w:val="22"/>
        </w:rPr>
        <w:t xml:space="preserve">Income distribution rights. Token holders receive proportional distributions of the creator's platform income on a weekly basis, proportional to their holdings relative to total token supply, via automated on-chain smart contract execution.</w:t>
      </w:r>
    </w:p>
    <w:p>
      <w:pPr>
        <w:pStyle w:val="ListParagraph"/>
        <w:numPr>
          <w:ilvl w:val="0"/>
          <w:numId w:val="3"/>
        </w:numPr>
        <w:spacing w:after="80" w:before="40"/>
      </w:pPr>
      <w:r>
        <w:rPr>
          <w:rFonts w:ascii="Times New Roman" w:cs="Times New Roman" w:eastAsia="Times New Roman" w:hAnsi="Times New Roman"/>
          <w:b w:val="false"/>
          <w:bCs w:val="false"/>
          <w:i w:val="false"/>
          <w:iCs w:val="false"/>
          <w:smallCaps w:val="false"/>
          <w:color w:val="111111"/>
          <w:sz w:val="22"/>
          <w:szCs w:val="22"/>
        </w:rPr>
        <w:t xml:space="preserve">Social identity. Token holdings constitute the holder's Social Net Worth, displayed on their People.market profile as a measure of their investment in people and communities they believe in.</w:t>
      </w:r>
    </w:p>
    <w:p>
      <w:pPr>
        <w:pStyle w:val="ListParagraph"/>
        <w:numPr>
          <w:ilvl w:val="0"/>
          <w:numId w:val="3"/>
        </w:numPr>
        <w:spacing w:after="80" w:before="40"/>
      </w:pPr>
      <w:r>
        <w:rPr>
          <w:rFonts w:ascii="Times New Roman" w:cs="Times New Roman" w:eastAsia="Times New Roman" w:hAnsi="Times New Roman"/>
          <w:b w:val="false"/>
          <w:bCs w:val="false"/>
          <w:i w:val="false"/>
          <w:iCs w:val="false"/>
          <w:smallCaps w:val="false"/>
          <w:color w:val="111111"/>
          <w:sz w:val="22"/>
          <w:szCs w:val="22"/>
        </w:rPr>
        <w:t xml:space="preserve">Price discovery participation. During the bonding curve phase, token holders participate in a transparent, algorithm-determined price discovery process with guaranteed liquidity for entry and exit.</w:t>
      </w:r>
    </w:p>
    <w:p>
      <w:pPr>
        <w:pStyle w:val="Heading2"/>
        <w:spacing w:after="100" w:before="320"/>
      </w:pPr>
      <w:r>
        <w:rPr>
          <w:rFonts w:ascii="Times New Roman" w:cs="Times New Roman" w:eastAsia="Times New Roman" w:hAnsi="Times New Roman"/>
          <w:b/>
          <w:bCs/>
          <w:i w:val="false"/>
          <w:iCs w:val="false"/>
          <w:smallCaps w:val="false"/>
          <w:color w:val="111111"/>
          <w:sz w:val="24"/>
          <w:szCs w:val="24"/>
        </w:rPr>
        <w:t xml:space="preserve">17.3  Characteristics and Limitations</w:t>
      </w:r>
    </w:p>
    <w:p>
      <w:pPr>
        <w:pStyle w:val="ListParagraph"/>
        <w:numPr>
          <w:ilvl w:val="0"/>
          <w:numId w:val="2"/>
        </w:numPr>
        <w:spacing w:after="80" w:before="40"/>
      </w:pPr>
      <w:r>
        <w:rPr>
          <w:rFonts w:ascii="Times New Roman" w:cs="Times New Roman" w:eastAsia="Times New Roman" w:hAnsi="Times New Roman"/>
          <w:b w:val="false"/>
          <w:bCs w:val="false"/>
          <w:i w:val="false"/>
          <w:iCs w:val="false"/>
          <w:smallCaps w:val="false"/>
          <w:color w:val="111111"/>
          <w:sz w:val="22"/>
          <w:szCs w:val="22"/>
        </w:rPr>
        <w:t xml:space="preserve">Fixed supply of exactly 100,000,000 units with no post-deployment minting capability.</w:t>
      </w:r>
    </w:p>
    <w:p>
      <w:pPr>
        <w:pStyle w:val="ListParagraph"/>
        <w:numPr>
          <w:ilvl w:val="0"/>
          <w:numId w:val="2"/>
        </w:numPr>
        <w:spacing w:after="80" w:before="40"/>
      </w:pPr>
      <w:r>
        <w:rPr>
          <w:rFonts w:ascii="Times New Roman" w:cs="Times New Roman" w:eastAsia="Times New Roman" w:hAnsi="Times New Roman"/>
          <w:b w:val="false"/>
          <w:bCs w:val="false"/>
          <w:i w:val="false"/>
          <w:iCs w:val="false"/>
          <w:smallCaps w:val="false"/>
          <w:color w:val="111111"/>
          <w:sz w:val="22"/>
          <w:szCs w:val="22"/>
        </w:rPr>
        <w:t xml:space="preserve">No backing by any commodity, currency, fiat asset, or external financial instrument. Value is determined entirely by market demand.</w:t>
      </w:r>
    </w:p>
    <w:p>
      <w:pPr>
        <w:pStyle w:val="ListParagraph"/>
        <w:numPr>
          <w:ilvl w:val="0"/>
          <w:numId w:val="2"/>
        </w:numPr>
        <w:spacing w:after="80" w:before="40"/>
      </w:pPr>
      <w:r>
        <w:rPr>
          <w:rFonts w:ascii="Times New Roman" w:cs="Times New Roman" w:eastAsia="Times New Roman" w:hAnsi="Times New Roman"/>
          <w:b w:val="false"/>
          <w:bCs w:val="false"/>
          <w:i w:val="false"/>
          <w:iCs w:val="false"/>
          <w:smallCaps w:val="false"/>
          <w:color w:val="111111"/>
          <w:sz w:val="22"/>
          <w:szCs w:val="22"/>
        </w:rPr>
        <w:t xml:space="preserve">Income distribution rights are contingent on the creator actively using the People.market platform and generating distributable income.</w:t>
      </w:r>
    </w:p>
    <w:p>
      <w:pPr>
        <w:pStyle w:val="ListParagraph"/>
        <w:numPr>
          <w:ilvl w:val="0"/>
          <w:numId w:val="2"/>
        </w:numPr>
        <w:spacing w:after="80" w:before="40"/>
      </w:pPr>
      <w:r>
        <w:rPr>
          <w:rFonts w:ascii="Times New Roman" w:cs="Times New Roman" w:eastAsia="Times New Roman" w:hAnsi="Times New Roman"/>
          <w:b w:val="false"/>
          <w:bCs w:val="false"/>
          <w:i w:val="false"/>
          <w:iCs w:val="false"/>
          <w:smallCaps w:val="false"/>
          <w:color w:val="111111"/>
          <w:sz w:val="22"/>
          <w:szCs w:val="22"/>
        </w:rPr>
        <w:t xml:space="preserve">Creator tokens do not represent equity, debt, profit-sharing, or ownership interest in People.market or in the creator's activities outside the platform.</w:t>
      </w:r>
    </w:p>
    <w:p>
      <w:pPr>
        <w:pStyle w:val="ListParagraph"/>
        <w:numPr>
          <w:ilvl w:val="0"/>
          <w:numId w:val="2"/>
        </w:numPr>
        <w:spacing w:after="80" w:before="40"/>
      </w:pPr>
      <w:r>
        <w:rPr>
          <w:rFonts w:ascii="Times New Roman" w:cs="Times New Roman" w:eastAsia="Times New Roman" w:hAnsi="Times New Roman"/>
          <w:b w:val="false"/>
          <w:bCs w:val="false"/>
          <w:i w:val="false"/>
          <w:iCs w:val="false"/>
          <w:smallCaps w:val="false"/>
          <w:color w:val="111111"/>
          <w:sz w:val="22"/>
          <w:szCs w:val="22"/>
        </w:rPr>
        <w:t xml:space="preserve">Regulatory classification varies by jurisdiction. Token holders and creators should seek independent legal advice.</w:t>
      </w:r>
    </w:p>
    <w:p>
      <w:r>
        <w:br w:type="page"/>
      </w:r>
    </w:p>
    <w:p>
      <w:pPr>
        <w:pStyle w:val="Heading1"/>
        <w:pBdr>
          <w:bottom w:val="single" w:color="1A1A1A" w:sz="6" w:space="6"/>
        </w:pBdr>
        <w:spacing w:after="160" w:before="480"/>
      </w:pPr>
      <w:r>
        <w:rPr>
          <w:rFonts w:ascii="Times New Roman" w:cs="Times New Roman" w:eastAsia="Times New Roman" w:hAnsi="Times New Roman"/>
          <w:b/>
          <w:bCs/>
          <w:i w:val="false"/>
          <w:iCs w:val="false"/>
          <w:smallCaps w:val="false"/>
          <w:color w:val="111111"/>
          <w:sz w:val="28"/>
          <w:szCs w:val="28"/>
        </w:rPr>
        <w:t xml:space="preserve">18.   </w:t>
      </w:r>
      <w:r>
        <w:rPr>
          <w:rFonts w:ascii="Times New Roman" w:cs="Times New Roman" w:eastAsia="Times New Roman" w:hAnsi="Times New Roman"/>
          <w:b/>
          <w:bCs/>
          <w:i w:val="false"/>
          <w:iCs w:val="false"/>
          <w:smallCaps/>
          <w:color w:val="111111"/>
          <w:sz w:val="28"/>
          <w:szCs w:val="28"/>
        </w:rPr>
        <w:t xml:space="preserve">ROADMAP</w:t>
      </w:r>
    </w:p>
    <w:p>
      <w:pPr>
        <w:pStyle w:val="Heading2"/>
        <w:spacing w:after="100" w:before="320"/>
      </w:pPr>
      <w:r>
        <w:rPr>
          <w:rFonts w:ascii="Times New Roman" w:cs="Times New Roman" w:eastAsia="Times New Roman" w:hAnsi="Times New Roman"/>
          <w:b/>
          <w:bCs/>
          <w:i w:val="false"/>
          <w:iCs w:val="false"/>
          <w:smallCaps w:val="false"/>
          <w:color w:val="111111"/>
          <w:sz w:val="24"/>
          <w:szCs w:val="24"/>
        </w:rPr>
        <w:t xml:space="preserve">18.1  Phase 0 — Foundation (Current)</w:t>
      </w:r>
    </w:p>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Smart contract architecture, specification, and testing. Tokenomics finalisation and economic modelling. Founding creator identification and outreach. Tier-1 smart contract security audit engagement. Legal review of token utility statement and platform structure. Core team assembly.</w:t>
      </w:r>
    </w:p>
    <w:p>
      <w:pPr>
        <w:pStyle w:val="Heading2"/>
        <w:spacing w:after="100" w:before="320"/>
      </w:pPr>
      <w:r>
        <w:rPr>
          <w:rFonts w:ascii="Times New Roman" w:cs="Times New Roman" w:eastAsia="Times New Roman" w:hAnsi="Times New Roman"/>
          <w:b/>
          <w:bCs/>
          <w:i w:val="false"/>
          <w:iCs w:val="false"/>
          <w:smallCaps w:val="false"/>
          <w:color w:val="111111"/>
          <w:sz w:val="24"/>
          <w:szCs w:val="24"/>
        </w:rPr>
        <w:t xml:space="preserve">18.2  Phase 1 — Launch (Q3 2026)</w:t>
      </w:r>
    </w:p>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Smart contract audit completion and Solana mainnet deployment. Mobile application launch on iOS and Android. Phantom, Solflare, Backpack, and Venly wallet integration. Founding cohort of 15 to 25 creator tokens launched simultaneously. Bonding curve trading, task economy, and community features live from day one. Real-time token page: supply breakdown, vesting tracker, stability reserve status, price in both SOL and USD. Creator vesting notification system delivering daily push notifications to holders.</w:t>
      </w:r>
    </w:p>
    <w:p>
      <w:pPr>
        <w:pStyle w:val="Heading2"/>
        <w:spacing w:after="100" w:before="320"/>
      </w:pPr>
      <w:r>
        <w:rPr>
          <w:rFonts w:ascii="Times New Roman" w:cs="Times New Roman" w:eastAsia="Times New Roman" w:hAnsi="Times New Roman"/>
          <w:b/>
          <w:bCs/>
          <w:i w:val="false"/>
          <w:iCs w:val="false"/>
          <w:smallCaps w:val="false"/>
          <w:color w:val="111111"/>
          <w:sz w:val="24"/>
          <w:szCs w:val="24"/>
        </w:rPr>
        <w:t xml:space="preserve">18.3  Phase 2 — Growth (Q4 2026 – Q1 2027)</w:t>
      </w:r>
    </w:p>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Application-based creator onboarding at a rate of 2 to 3 new tokens per week. First creator token DEX graduations targeting 10 or more. Revenue distribution contract: weekly income sharing to all token holders. Advanced creator analytics: holder demographics, task completion rates, income projections. Task marketplace expansion to include real-world categories (events, merchandise, reviews). Social Net Worth leaderboards and discovery features. Referral programme and platform aggregator integration (Raydium, DexScreener, CoinGecko).</w:t>
      </w:r>
    </w:p>
    <w:p>
      <w:pPr>
        <w:pStyle w:val="Heading2"/>
        <w:spacing w:after="100" w:before="320"/>
      </w:pPr>
      <w:r>
        <w:rPr>
          <w:rFonts w:ascii="Times New Roman" w:cs="Times New Roman" w:eastAsia="Times New Roman" w:hAnsi="Times New Roman"/>
          <w:b/>
          <w:bCs/>
          <w:i w:val="false"/>
          <w:iCs w:val="false"/>
          <w:smallCaps w:val="false"/>
          <w:color w:val="111111"/>
          <w:sz w:val="24"/>
          <w:szCs w:val="24"/>
        </w:rPr>
        <w:t xml:space="preserve">18.4  Phase 3 — Scale (Q2 – Q4 2027)</w:t>
      </w:r>
    </w:p>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Target: 50 or more active creator tokens, 10,000 or more monthly active users, and $500,000 to $5,000,000 annualised revenue. Creator subscription tiers: paid exclusive content, community newsletters, live events. NFT milestone badges for genesis bonding curve participants. Multi-region expansion across Southeast Asia, the Middle East, and Africa. Platform API enabling third-party developers to build on People.market infrastructure.</w:t>
      </w:r>
    </w:p>
    <w:p>
      <w:pPr>
        <w:pStyle w:val="Heading2"/>
        <w:spacing w:after="100" w:before="320"/>
      </w:pPr>
      <w:r>
        <w:rPr>
          <w:rFonts w:ascii="Times New Roman" w:cs="Times New Roman" w:eastAsia="Times New Roman" w:hAnsi="Times New Roman"/>
          <w:b/>
          <w:bCs/>
          <w:i w:val="false"/>
          <w:iCs w:val="false"/>
          <w:smallCaps w:val="false"/>
          <w:color w:val="111111"/>
          <w:sz w:val="24"/>
          <w:szCs w:val="24"/>
        </w:rPr>
        <w:t xml:space="preserve">18.5  Phase 4 — Maturity (2028 and Beyond)</w:t>
      </w:r>
    </w:p>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Prerequisite: $5,000,000 or more annualised platform revenue confirmed before proceeding. $PEOPLE governance token launch via Raydium IDO. People Points conversion window (90 days). DAO governance: community voting on protocol fee parameters and protocol upgrades. Own DEX infrastructure development to capture LP fees currently accumulating in burned Raydium pools. Cross-chain expansion to additional high-throughput networks based on demonstrated user demand.</w:t>
      </w:r>
    </w:p>
    <w:p>
      <w:r>
        <w:br w:type="page"/>
      </w:r>
    </w:p>
    <w:p>
      <w:pPr>
        <w:pStyle w:val="Heading1"/>
        <w:pBdr>
          <w:bottom w:val="single" w:color="1A1A1A" w:sz="6" w:space="6"/>
        </w:pBdr>
        <w:spacing w:after="160" w:before="480"/>
      </w:pPr>
      <w:r>
        <w:rPr>
          <w:rFonts w:ascii="Times New Roman" w:cs="Times New Roman" w:eastAsia="Times New Roman" w:hAnsi="Times New Roman"/>
          <w:b/>
          <w:bCs/>
          <w:i w:val="false"/>
          <w:iCs w:val="false"/>
          <w:smallCaps w:val="false"/>
          <w:color w:val="111111"/>
          <w:sz w:val="28"/>
          <w:szCs w:val="28"/>
        </w:rPr>
        <w:t xml:space="preserve">19.   </w:t>
      </w:r>
      <w:r>
        <w:rPr>
          <w:rFonts w:ascii="Times New Roman" w:cs="Times New Roman" w:eastAsia="Times New Roman" w:hAnsi="Times New Roman"/>
          <w:b/>
          <w:bCs/>
          <w:i w:val="false"/>
          <w:iCs w:val="false"/>
          <w:smallCaps/>
          <w:color w:val="111111"/>
          <w:sz w:val="28"/>
          <w:szCs w:val="28"/>
        </w:rPr>
        <w:t xml:space="preserve">RISK ANALYSIS</w:t>
      </w:r>
    </w:p>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People.market identifies and discloses the following material risks. This list is not exhaustive. Prospective participants should conduct independent due diligence.</w:t>
      </w:r>
    </w:p>
    <w:p>
      <w:pPr>
        <w:pStyle w:val="Heading2"/>
        <w:spacing w:after="100" w:before="320"/>
      </w:pPr>
      <w:r>
        <w:rPr>
          <w:rFonts w:ascii="Times New Roman" w:cs="Times New Roman" w:eastAsia="Times New Roman" w:hAnsi="Times New Roman"/>
          <w:b/>
          <w:bCs/>
          <w:i w:val="false"/>
          <w:iCs w:val="false"/>
          <w:smallCaps w:val="false"/>
          <w:color w:val="111111"/>
          <w:sz w:val="24"/>
          <w:szCs w:val="24"/>
        </w:rPr>
        <w:t xml:space="preserve">19.1  Smart Contract Risk</w:t>
      </w:r>
    </w:p>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The platform relies on seven independent Solana programs, each representing a potential attack surface. The $160,950 Raydium liquidity pool seeded at graduation is an immediate high-value target. All programs will be audited by a qualified Tier-1 security firm before mainnet deployment. A post-launch bug bounty programme will be established. Immutable program deployment (no upgradable proxies) reduces the attack surface but means that any identified vulnerability cannot be patched after deployment without a migration to new contracts.</w:t>
      </w:r>
    </w:p>
    <w:p>
      <w:pPr>
        <w:pStyle w:val="Heading2"/>
        <w:spacing w:after="100" w:before="320"/>
      </w:pPr>
      <w:r>
        <w:rPr>
          <w:rFonts w:ascii="Times New Roman" w:cs="Times New Roman" w:eastAsia="Times New Roman" w:hAnsi="Times New Roman"/>
          <w:b/>
          <w:bCs/>
          <w:i w:val="false"/>
          <w:iCs w:val="false"/>
          <w:smallCaps w:val="false"/>
          <w:color w:val="111111"/>
          <w:sz w:val="24"/>
          <w:szCs w:val="24"/>
        </w:rPr>
        <w:t xml:space="preserve">19.2  Regulatory Risk</w:t>
      </w:r>
    </w:p>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The regulatory classification of creator tokens — particularly those with income-sharing rights — as securities under applicable law varies by jurisdiction and is uncertain. A determination that creator tokens constitute securities could materially restrict platform operation, require registration or licensing, and expose the platform and its users to regulatory liability. The platform is seeking qualified legal counsel prior to launch. The token utility statement is drafted conservatively to support a utility token characterisation, but no assurance can be provided that any regulatory authority will accept that characterisation.</w:t>
      </w:r>
    </w:p>
    <w:p>
      <w:pPr>
        <w:pStyle w:val="Heading2"/>
        <w:spacing w:after="100" w:before="320"/>
      </w:pPr>
      <w:r>
        <w:rPr>
          <w:rFonts w:ascii="Times New Roman" w:cs="Times New Roman" w:eastAsia="Times New Roman" w:hAnsi="Times New Roman"/>
          <w:b/>
          <w:bCs/>
          <w:i w:val="false"/>
          <w:iCs w:val="false"/>
          <w:smallCaps w:val="false"/>
          <w:color w:val="111111"/>
          <w:sz w:val="24"/>
          <w:szCs w:val="24"/>
        </w:rPr>
        <w:t xml:space="preserve">19.3  Graduation Failure Risk</w:t>
      </w:r>
    </w:p>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Based on public data from pump.fun, fewer than 1% of launched tokens reach full bonding curve completion. If the majority of People.market creator tokens stall on the bonding curve, the platform may be perceived as a graveyard of abandoned tokens rather than a thriving marketplace. Mitigations include the curation of the founding creator cohort, gamified bonding curve milestone notifications, and Raydium aggregator visibility for non-graduated tokens. However, graduation failure remains the most significant structural risk to platform viability.</w:t>
      </w:r>
    </w:p>
    <w:p>
      <w:pPr>
        <w:pStyle w:val="Heading2"/>
        <w:spacing w:after="100" w:before="320"/>
      </w:pPr>
      <w:r>
        <w:rPr>
          <w:rFonts w:ascii="Times New Roman" w:cs="Times New Roman" w:eastAsia="Times New Roman" w:hAnsi="Times New Roman"/>
          <w:b/>
          <w:bCs/>
          <w:i w:val="false"/>
          <w:iCs w:val="false"/>
          <w:smallCaps w:val="false"/>
          <w:color w:val="111111"/>
          <w:sz w:val="24"/>
          <w:szCs w:val="24"/>
        </w:rPr>
        <w:t xml:space="preserve">19.4  Creator Abandonment Risk</w:t>
      </w:r>
    </w:p>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A creator who has graduated their token and received their $7,400 cash payout may disengage from the platform, leaving token holders with a community that has no active creator. The 41-year vesting schedule provides a perpetual financial incentive for continued engagement. On-chain vesting transparency enables token holders to identify inactive creators early. However, the platform cannot compel creator activity.</w:t>
      </w:r>
    </w:p>
    <w:p>
      <w:pPr>
        <w:pStyle w:val="Heading2"/>
        <w:spacing w:after="100" w:before="320"/>
      </w:pPr>
      <w:r>
        <w:rPr>
          <w:rFonts w:ascii="Times New Roman" w:cs="Times New Roman" w:eastAsia="Times New Roman" w:hAnsi="Times New Roman"/>
          <w:b/>
          <w:bCs/>
          <w:i w:val="false"/>
          <w:iCs w:val="false"/>
          <w:smallCaps w:val="false"/>
          <w:color w:val="111111"/>
          <w:sz w:val="24"/>
          <w:szCs w:val="24"/>
        </w:rPr>
        <w:t xml:space="preserve">19.5  Task Economy Gaming Risk</w:t>
      </w:r>
    </w:p>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Despite anti-gaming mechanisms, sophisticated actors may develop methods to systematically farm task rewards using networks of verified social accounts. The migration lock prevents task-earned tokens from being dumped on bonding curve buyers, which eliminates the most damaging form of abuse. Reputation scoring and account quality requirements reduce the expected return on farming attacks, but cannot eliminate them entirely.</w:t>
      </w:r>
    </w:p>
    <w:p>
      <w:pPr>
        <w:pStyle w:val="Heading2"/>
        <w:spacing w:after="100" w:before="320"/>
      </w:pPr>
      <w:r>
        <w:rPr>
          <w:rFonts w:ascii="Times New Roman" w:cs="Times New Roman" w:eastAsia="Times New Roman" w:hAnsi="Times New Roman"/>
          <w:b/>
          <w:bCs/>
          <w:i w:val="false"/>
          <w:iCs w:val="false"/>
          <w:smallCaps w:val="false"/>
          <w:color w:val="111111"/>
          <w:sz w:val="24"/>
          <w:szCs w:val="24"/>
        </w:rPr>
        <w:t xml:space="preserve">19.6  User Retention Risk</w:t>
      </w:r>
    </w:p>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SocialFi 1.0 platforms demonstrated that initial viral growth does not predict sustained engagement. People.market's task economy and income sharing create stronger structural retention incentives than speculative trading alone, but sustained engagement still requires continuous feature development and active creator participation. The platform must ship meaningful new capabilities on an ongoing basis to compete with established Web2 social platforms for user time and attention.</w:t>
      </w:r>
    </w:p>
    <w:p>
      <w:pPr>
        <w:pStyle w:val="Heading2"/>
        <w:spacing w:after="100" w:before="320"/>
      </w:pPr>
      <w:r>
        <w:rPr>
          <w:rFonts w:ascii="Times New Roman" w:cs="Times New Roman" w:eastAsia="Times New Roman" w:hAnsi="Times New Roman"/>
          <w:b/>
          <w:bCs/>
          <w:i w:val="false"/>
          <w:iCs w:val="false"/>
          <w:smallCaps w:val="false"/>
          <w:color w:val="111111"/>
          <w:sz w:val="24"/>
          <w:szCs w:val="24"/>
        </w:rPr>
        <w:t xml:space="preserve">19.7  Liquidity Risk</w:t>
      </w:r>
    </w:p>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Creator tokens that fail to graduate retain liquidity only through the bonding curve mechanism. While the bonding curve provides guaranteed two-way liquidity, the pool depth is limited to the SOL collected from sales to date. Large sell orders on thinly progressed bonding curves will produce significant price impact. Post-graduation tokens seeded with smaller liquidity pools (due to partial graduation or lower SOL prices at graduation) will exhibit higher price impact per trade.</w:t>
      </w:r>
    </w:p>
    <w:p>
      <w:r>
        <w:br w:type="page"/>
      </w:r>
    </w:p>
    <w:p>
      <w:pPr>
        <w:pStyle w:val="Heading1"/>
        <w:pBdr>
          <w:bottom w:val="single" w:color="1A1A1A" w:sz="6" w:space="6"/>
        </w:pBdr>
        <w:spacing w:after="160" w:before="480"/>
      </w:pPr>
      <w:r>
        <w:rPr>
          <w:rFonts w:ascii="Times New Roman" w:cs="Times New Roman" w:eastAsia="Times New Roman" w:hAnsi="Times New Roman"/>
          <w:b/>
          <w:bCs/>
          <w:i w:val="false"/>
          <w:iCs w:val="false"/>
          <w:smallCaps w:val="false"/>
          <w:color w:val="111111"/>
          <w:sz w:val="28"/>
          <w:szCs w:val="28"/>
        </w:rPr>
        <w:t xml:space="preserve">20.   </w:t>
      </w:r>
      <w:r>
        <w:rPr>
          <w:rFonts w:ascii="Times New Roman" w:cs="Times New Roman" w:eastAsia="Times New Roman" w:hAnsi="Times New Roman"/>
          <w:b/>
          <w:bCs/>
          <w:i w:val="false"/>
          <w:iCs w:val="false"/>
          <w:smallCaps/>
          <w:color w:val="111111"/>
          <w:sz w:val="28"/>
          <w:szCs w:val="28"/>
        </w:rPr>
        <w:t xml:space="preserve">TECHNICAL APPENDIX</w:t>
      </w:r>
    </w:p>
    <w:p>
      <w:pPr>
        <w:pStyle w:val="Heading2"/>
        <w:spacing w:after="100" w:before="320"/>
      </w:pPr>
      <w:r>
        <w:rPr>
          <w:rFonts w:ascii="Times New Roman" w:cs="Times New Roman" w:eastAsia="Times New Roman" w:hAnsi="Times New Roman"/>
          <w:b/>
          <w:bCs/>
          <w:i w:val="false"/>
          <w:iCs w:val="false"/>
          <w:smallCaps w:val="false"/>
          <w:color w:val="111111"/>
          <w:sz w:val="24"/>
          <w:szCs w:val="24"/>
        </w:rPr>
        <w:t xml:space="preserve">20.1  Smart Contract Specifications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2200"/>
        <w:gridCol w:w="5160"/>
      </w:tblGrid>
      <w:tr>
        <w:trPr>
          <w:tblHeader/>
        </w:trPr>
        <w:tc>
          <w:tcPr>
            <w:tcW w:type="dxa" w:w="2000"/>
            <w:tcBorders>
              <w:top w:val="single" w:color="CCCCCC" w:sz="4"/>
              <w:left w:val="single" w:color="CCCCCC" w:sz="4"/>
              <w:bottom w:val="single" w:color="CCCCCC" w:sz="4"/>
              <w:right w:val="single" w:color="CCCCCC" w:sz="4"/>
            </w:tcBorders>
            <w:shd w:fill="1A1A1A" w:val="clear"/>
            <w:tcMar>
              <w:top w:type="dxa" w:w="80"/>
              <w:left w:type="dxa" w:w="120"/>
              <w:bottom w:type="dxa" w:w="80"/>
              <w:right w:type="dxa" w:w="120"/>
            </w:tcMar>
          </w:tcPr>
          <w:p>
            <w:pPr>
              <w:spacing w:after="0" w:before="0"/>
            </w:pPr>
            <w:r>
              <w:rPr>
                <w:rFonts w:ascii="Times New Roman" w:cs="Times New Roman" w:eastAsia="Times New Roman" w:hAnsi="Times New Roman"/>
                <w:b/>
                <w:bCs/>
                <w:i w:val="false"/>
                <w:iCs w:val="false"/>
                <w:smallCaps w:val="false"/>
                <w:color w:val="FFFFFF"/>
                <w:sz w:val="19"/>
                <w:szCs w:val="19"/>
              </w:rPr>
              <w:t xml:space="preserve">Program</w:t>
            </w:r>
          </w:p>
        </w:tc>
        <w:tc>
          <w:tcPr>
            <w:tcW w:type="dxa" w:w="2200"/>
            <w:tcBorders>
              <w:top w:val="single" w:color="CCCCCC" w:sz="4"/>
              <w:left w:val="single" w:color="CCCCCC" w:sz="4"/>
              <w:bottom w:val="single" w:color="CCCCCC" w:sz="4"/>
              <w:right w:val="single" w:color="CCCCCC" w:sz="4"/>
            </w:tcBorders>
            <w:shd w:fill="1A1A1A" w:val="clear"/>
            <w:tcMar>
              <w:top w:type="dxa" w:w="80"/>
              <w:left w:type="dxa" w:w="120"/>
              <w:bottom w:type="dxa" w:w="80"/>
              <w:right w:type="dxa" w:w="120"/>
            </w:tcMar>
          </w:tcPr>
          <w:p>
            <w:pPr>
              <w:spacing w:after="0" w:before="0"/>
            </w:pPr>
            <w:r>
              <w:rPr>
                <w:rFonts w:ascii="Times New Roman" w:cs="Times New Roman" w:eastAsia="Times New Roman" w:hAnsi="Times New Roman"/>
                <w:b/>
                <w:bCs/>
                <w:i w:val="false"/>
                <w:iCs w:val="false"/>
                <w:smallCaps w:val="false"/>
                <w:color w:val="FFFFFF"/>
                <w:sz w:val="19"/>
                <w:szCs w:val="19"/>
              </w:rPr>
              <w:t xml:space="preserve">Purpose</w:t>
            </w:r>
          </w:p>
        </w:tc>
        <w:tc>
          <w:tcPr>
            <w:tcW w:type="dxa" w:w="5160"/>
            <w:tcBorders>
              <w:top w:val="single" w:color="CCCCCC" w:sz="4"/>
              <w:left w:val="single" w:color="CCCCCC" w:sz="4"/>
              <w:bottom w:val="single" w:color="CCCCCC" w:sz="4"/>
              <w:right w:val="single" w:color="CCCCCC" w:sz="4"/>
            </w:tcBorders>
            <w:shd w:fill="1A1A1A" w:val="clear"/>
            <w:tcMar>
              <w:top w:type="dxa" w:w="80"/>
              <w:left w:type="dxa" w:w="120"/>
              <w:bottom w:type="dxa" w:w="80"/>
              <w:right w:type="dxa" w:w="120"/>
            </w:tcMar>
          </w:tcPr>
          <w:p>
            <w:pPr>
              <w:spacing w:after="0" w:before="0"/>
            </w:pPr>
            <w:r>
              <w:rPr>
                <w:rFonts w:ascii="Times New Roman" w:cs="Times New Roman" w:eastAsia="Times New Roman" w:hAnsi="Times New Roman"/>
                <w:b/>
                <w:bCs/>
                <w:i w:val="false"/>
                <w:iCs w:val="false"/>
                <w:smallCaps w:val="false"/>
                <w:color w:val="FFFFFF"/>
                <w:sz w:val="19"/>
                <w:szCs w:val="19"/>
              </w:rPr>
              <w:t xml:space="preserve">Key Functions</w:t>
            </w:r>
          </w:p>
        </w:tc>
      </w:tr>
      <w:tr>
        <w:tc>
          <w:tcPr>
            <w:tcW w:type="dxa" w:w="20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Token Factory</w:t>
            </w:r>
          </w:p>
        </w:tc>
        <w:tc>
          <w:tcPr>
            <w:tcW w:type="dxa" w:w="22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Deploys creator SPL token and initialises all associated programs atomically</w:t>
            </w:r>
          </w:p>
        </w:tc>
        <w:tc>
          <w:tcPr>
            <w:tcW w:type="dxa" w:w="516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Mint exactly 100,000,000 tokens with authority revoked. Initialise bonding curve state PDA. Initialise vesting contract PDA. Initialise task escrow PDA. Allocate token supply to bonding curve, vesting, and task pool accounts.</w:t>
            </w:r>
          </w:p>
        </w:tc>
      </w:tr>
      <w:tr>
        <w:tc>
          <w:tcPr>
            <w:tcW w:type="dxa" w:w="20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Bonding Curve</w:t>
            </w:r>
          </w:p>
        </w:tc>
        <w:tc>
          <w:tcPr>
            <w:tcW w:type="dxa" w:w="22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Manages pre-graduation pricing, buying, and selling</w:t>
            </w:r>
          </w:p>
        </w:tc>
        <w:tc>
          <w:tcPr>
            <w:tcW w:type="dxa" w:w="516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Implement P(S) = P₀ × 5^(S/M) formula (M = 20,000,000). Compute integral buy cost per equation (3). Compute integral sell refund per equation (4). Enforce 1.00% buy fee and 1.25% sell fee splits. Trigger migration when S = 20,000,000. Read Pyth Network SOL/USD at creation to compute P₀.</w:t>
            </w:r>
          </w:p>
        </w:tc>
      </w:tr>
      <w:tr>
        <w:tc>
          <w:tcPr>
            <w:tcW w:type="dxa" w:w="20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Vesting Contract</w:t>
            </w:r>
          </w:p>
        </w:tc>
        <w:tc>
          <w:tcPr>
            <w:tcW w:type="dxa" w:w="22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Manages creator's 67,270,000-token daily release</w:t>
            </w:r>
          </w:p>
        </w:tc>
        <w:tc>
          <w:tcPr>
            <w:tcW w:type="dxa" w:w="516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Store vesting_base = 67,270,000 and daily_release = 4,485. Manual claim: validate caller is creator's registered public key. Update cumulative claimed and extend schedule per missed days. Transfer to creator's associated token account.</w:t>
            </w:r>
          </w:p>
        </w:tc>
      </w:tr>
      <w:tr>
        <w:tc>
          <w:tcPr>
            <w:tcW w:type="dxa" w:w="20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Task Escrow</w:t>
            </w:r>
          </w:p>
        </w:tc>
        <w:tc>
          <w:tcPr>
            <w:tcW w:type="dxa" w:w="22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Holds and releases task reward tokens per user PDA</w:t>
            </w:r>
          </w:p>
        </w:tc>
        <w:tc>
          <w:tcPr>
            <w:tcW w:type="dxa" w:w="516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Create PDA per (token_mint, user_pubkey) pair. Accept platform-authorised lock instructions. Enforce 30-day cliff from graduation timestamp. Calculate and release 10% of total_earned per calendar month. Validate ATA creation and transfer to user wallet.</w:t>
            </w:r>
          </w:p>
        </w:tc>
      </w:tr>
      <w:tr>
        <w:tc>
          <w:tcPr>
            <w:tcW w:type="dxa" w:w="20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Stability Reserve</w:t>
            </w:r>
          </w:p>
        </w:tc>
        <w:tc>
          <w:tcPr>
            <w:tcW w:type="dxa" w:w="22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Permanent automated price defence</w:t>
            </w:r>
          </w:p>
        </w:tc>
        <w:tc>
          <w:tcPr>
            <w:tcW w:type="dxa" w:w="516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Hold SOL in program-controlled PDA. Monitor Raydium pool on-chain accounts for price changes. Enforce three-tier trigger conditions, cooldown timers, hard $500 floor, and 50% annual spend cap. Execute Raydium CPMM swap. Send received tokens to burn address.</w:t>
            </w:r>
          </w:p>
        </w:tc>
      </w:tr>
      <w:tr>
        <w:tc>
          <w:tcPr>
            <w:tcW w:type="dxa" w:w="20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DEX Migration</w:t>
            </w:r>
          </w:p>
        </w:tc>
        <w:tc>
          <w:tcPr>
            <w:tcW w:type="dxa" w:w="220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Trustless graduation execution</w:t>
            </w:r>
          </w:p>
        </w:tc>
        <w:tc>
          <w:tcPr>
            <w:tcW w:type="dxa" w:w="5160"/>
            <w:tcBorders>
              <w:top w:val="single" w:color="CCCCCC" w:sz="4"/>
              <w:left w:val="single" w:color="CCCCCC" w:sz="4"/>
              <w:bottom w:val="single" w:color="CCCCCC" w:sz="4"/>
              <w:right w:val="single" w:color="CCCCCC" w:sz="4"/>
            </w:tcBorders>
            <w:shd w:fill="F7F7F7"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Verify S = 20,000,000 on bonding curve. Compute token quantity per equation (7). Distribute SOL per 87/4/4/5 split. Create Raydium CPMM pool with correct initial ratio. Burn LP tokens. Activate task escrow cliff. Seed stability reserve. Transfer creator payout.</w:t>
            </w:r>
          </w:p>
        </w:tc>
      </w:tr>
      <w:tr>
        <w:tc>
          <w:tcPr>
            <w:tcW w:type="dxa" w:w="20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Revenue Distribution</w:t>
            </w:r>
          </w:p>
        </w:tc>
        <w:tc>
          <w:tcPr>
            <w:tcW w:type="dxa" w:w="220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Weekly proportional income sharing</w:t>
            </w:r>
          </w:p>
        </w:tc>
        <w:tc>
          <w:tcPr>
            <w:tcW w:type="dxa" w:w="5160"/>
            <w:tcBorders>
              <w:top w:val="single" w:color="CCCCCC" w:sz="4"/>
              <w:left w:val="single" w:color="CCCCCC" w:sz="4"/>
              <w:bottom w:val="single" w:color="CCCCCC" w:sz="4"/>
              <w:right w:val="single" w:color="CCCCCC" w:sz="4"/>
            </w:tcBorders>
            <w:shd w:fill="FFFFFF" w:val="clear"/>
            <w:tcMar>
              <w:top w:type="dxa" w:w="70"/>
              <w:left w:type="dxa" w:w="120"/>
              <w:bottom w:type="dxa" w:w="70"/>
              <w:right w:type="dxa" w:w="120"/>
            </w:tcMar>
          </w:tcPr>
          <w:p>
            <w:pPr>
              <w:spacing w:after="0" w:before="0"/>
            </w:pPr>
            <w:r>
              <w:rPr>
                <w:rFonts w:ascii="Times New Roman" w:cs="Times New Roman" w:eastAsia="Times New Roman" w:hAnsi="Times New Roman"/>
                <w:b w:val="false"/>
                <w:bCs w:val="false"/>
                <w:i w:val="false"/>
                <w:iCs w:val="false"/>
                <w:smallCaps w:val="false"/>
                <w:color w:val="111111"/>
                <w:sz w:val="19"/>
                <w:szCs w:val="19"/>
              </w:rPr>
              <w:t xml:space="preserve">Accept incoming SOL payment. Snapshot holder balances at random block within distribution window. Compute proportional shares per equation (10). Redirect LP pool address share to People.market treasury. Execute batch SOL transfers to all qualifying addresses.</w:t>
            </w:r>
          </w:p>
        </w:tc>
      </w:tr>
    </w:tbl>
    <w:p>
      <w:pPr>
        <w:spacing w:after="200" w:before="40" w:line="276"/>
        <w:jc w:val="center"/>
      </w:pPr>
      <w:r>
        <w:rPr>
          <w:rFonts w:ascii="Times New Roman" w:cs="Times New Roman" w:eastAsia="Times New Roman" w:hAnsi="Times New Roman"/>
          <w:b w:val="false"/>
          <w:bCs w:val="false"/>
          <w:i/>
          <w:iCs/>
          <w:smallCaps w:val="false"/>
          <w:color w:val="666666"/>
          <w:sz w:val="18"/>
          <w:szCs w:val="18"/>
        </w:rPr>
        <w:t xml:space="preserve">Table 19. Smart contract program specifications.</w:t>
      </w:r>
    </w:p>
    <w:p>
      <w:pPr>
        <w:pStyle w:val="Heading2"/>
        <w:spacing w:after="100" w:before="320"/>
      </w:pPr>
      <w:r>
        <w:rPr>
          <w:rFonts w:ascii="Times New Roman" w:cs="Times New Roman" w:eastAsia="Times New Roman" w:hAnsi="Times New Roman"/>
          <w:b/>
          <w:bCs/>
          <w:i w:val="false"/>
          <w:iCs w:val="false"/>
          <w:smallCaps w:val="false"/>
          <w:color w:val="111111"/>
          <w:sz w:val="24"/>
          <w:szCs w:val="24"/>
        </w:rPr>
        <w:t xml:space="preserve">20.2  Program Derived Address Architecture</w:t>
      </w:r>
    </w:p>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Solana Program Derived Addresses (PDAs) are public keys computed deterministically from a set of seeds and a program ID, with no corresponding private key. People.market uses PDAs to create program-controlled storage accounts for all user-specific token positions. Key PDA structures are as follows:</w:t>
      </w:r>
    </w:p>
    <w:p>
      <w:pPr>
        <w:pStyle w:val="ListParagraph"/>
        <w:numPr>
          <w:ilvl w:val="0"/>
          <w:numId w:val="2"/>
        </w:numPr>
        <w:spacing w:after="80" w:before="40"/>
      </w:pPr>
      <w:r>
        <w:rPr>
          <w:rFonts w:ascii="Times New Roman" w:cs="Times New Roman" w:eastAsia="Times New Roman" w:hAnsi="Times New Roman"/>
          <w:b w:val="false"/>
          <w:bCs w:val="false"/>
          <w:i w:val="false"/>
          <w:iCs w:val="false"/>
          <w:smallCaps w:val="false"/>
          <w:color w:val="111111"/>
          <w:sz w:val="22"/>
          <w:szCs w:val="22"/>
        </w:rPr>
        <w:t xml:space="preserve">Bonding curve state: seeds = ["bonding_curve", token_mint]. Stores tokens_sold, sol_collected, migration_status, and curve parameters.</w:t>
      </w:r>
    </w:p>
    <w:p>
      <w:pPr>
        <w:pStyle w:val="ListParagraph"/>
        <w:numPr>
          <w:ilvl w:val="0"/>
          <w:numId w:val="2"/>
        </w:numPr>
        <w:spacing w:after="80" w:before="40"/>
      </w:pPr>
      <w:r>
        <w:rPr>
          <w:rFonts w:ascii="Times New Roman" w:cs="Times New Roman" w:eastAsia="Times New Roman" w:hAnsi="Times New Roman"/>
          <w:b w:val="false"/>
          <w:bCs w:val="false"/>
          <w:i w:val="false"/>
          <w:iCs w:val="false"/>
          <w:smallCaps w:val="false"/>
          <w:color w:val="111111"/>
          <w:sz w:val="22"/>
          <w:szCs w:val="22"/>
        </w:rPr>
        <w:t xml:space="preserve">Vesting contract: seeds = ["vesting", token_mint, creator_pubkey]. Stores vesting_base, daily_release, cumulative_claimed, and schedule_extension_days.</w:t>
      </w:r>
    </w:p>
    <w:p>
      <w:pPr>
        <w:pStyle w:val="ListParagraph"/>
        <w:numPr>
          <w:ilvl w:val="0"/>
          <w:numId w:val="2"/>
        </w:numPr>
        <w:spacing w:after="80" w:before="40"/>
      </w:pPr>
      <w:r>
        <w:rPr>
          <w:rFonts w:ascii="Times New Roman" w:cs="Times New Roman" w:eastAsia="Times New Roman" w:hAnsi="Times New Roman"/>
          <w:b w:val="false"/>
          <w:bCs w:val="false"/>
          <w:i w:val="false"/>
          <w:iCs w:val="false"/>
          <w:smallCaps w:val="false"/>
          <w:color w:val="111111"/>
          <w:sz w:val="22"/>
          <w:szCs w:val="22"/>
        </w:rPr>
        <w:t xml:space="preserve">Task escrow (per user): seeds = ["task_escrow", token_mint, user_pubkey]. Stores total_earned, total_claimed, cliff_timestamp, and monthly_claim_history.</w:t>
      </w:r>
    </w:p>
    <w:p>
      <w:pPr>
        <w:pStyle w:val="ListParagraph"/>
        <w:numPr>
          <w:ilvl w:val="0"/>
          <w:numId w:val="2"/>
        </w:numPr>
        <w:spacing w:after="80" w:before="40"/>
      </w:pPr>
      <w:r>
        <w:rPr>
          <w:rFonts w:ascii="Times New Roman" w:cs="Times New Roman" w:eastAsia="Times New Roman" w:hAnsi="Times New Roman"/>
          <w:b w:val="false"/>
          <w:bCs w:val="false"/>
          <w:i w:val="false"/>
          <w:iCs w:val="false"/>
          <w:smallCaps w:val="false"/>
          <w:color w:val="111111"/>
          <w:sz w:val="22"/>
          <w:szCs w:val="22"/>
        </w:rPr>
        <w:t xml:space="preserve">Stability reserve: seeds = ["stability", token_mint]. Stores sol_balance, last_activation_per_tier, annual_cumulative_spend, and year_start_timestamp.</w:t>
      </w:r>
    </w:p>
    <w:p>
      <w:pPr>
        <w:pStyle w:val="Heading2"/>
        <w:spacing w:after="100" w:before="320"/>
      </w:pPr>
      <w:r>
        <w:rPr>
          <w:rFonts w:ascii="Times New Roman" w:cs="Times New Roman" w:eastAsia="Times New Roman" w:hAnsi="Times New Roman"/>
          <w:b/>
          <w:bCs/>
          <w:i w:val="false"/>
          <w:iCs w:val="false"/>
          <w:smallCaps w:val="false"/>
          <w:color w:val="111111"/>
          <w:sz w:val="24"/>
          <w:szCs w:val="24"/>
        </w:rPr>
        <w:t xml:space="preserve">20.3  Bonding Curve Mathematical Derivation</w:t>
      </w:r>
    </w:p>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The exponential pricing function is selected over the quadratic (Friend.tech) and linear alternatives for three properties: a fixed and predictable maximum return multiple; monotonic price increase with supply; and tractable closed-form integral expressions for cost and refund calculation.</w:t>
      </w:r>
    </w:p>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Starting from the requirement that price increases from P₀ to 5P₀ as supply increases from 0 to M = 20,000,000:</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8460"/>
        <w:gridCol w:w="900"/>
      </w:tblGrid>
      <w:tr>
        <w:tc>
          <w:tcPr>
            <w:tcW w:type="dxa" w:w="8460"/>
            <w:tcBorders>
              <w:top w:val="single" w:color="CCCCCC" w:sz="4"/>
              <w:left w:val="single" w:color="CCCCCC" w:sz="4"/>
              <w:bottom w:val="single" w:color="CCCCCC" w:sz="4"/>
              <w:right w:val="none" w:color="FFFFFF" w:sz="0"/>
            </w:tcBorders>
            <w:shd w:fill="EFEFEF" w:val="clear"/>
            <w:tcMar>
              <w:top w:type="dxa" w:w="100"/>
              <w:left w:type="dxa" w:w="240"/>
              <w:bottom w:type="dxa" w:w="100"/>
              <w:right w:type="dxa" w:w="120"/>
            </w:tcMar>
          </w:tcPr>
          <w:p>
            <w:pPr>
              <w:spacing w:after="0" w:before="0"/>
            </w:pPr>
            <w:r>
              <w:rPr>
                <w:rFonts w:ascii="Courier New" w:cs="Courier New" w:eastAsia="Courier New" w:hAnsi="Courier New"/>
                <w:b/>
                <w:bCs/>
                <w:color w:val="1A1A1A"/>
                <w:sz w:val="22"/>
                <w:szCs w:val="22"/>
              </w:rPr>
              <w:t xml:space="preserve">P(M) / P(0) = 5 ⇒ P₀ × 5^(M/M) / P₀ × 5^0 = 5^1 / 5^0 = 5 ✓</w:t>
            </w:r>
          </w:p>
        </w:tc>
        <w:tc>
          <w:tcPr>
            <w:tcW w:type="dxa" w:w="900"/>
            <w:tcBorders>
              <w:top w:val="single" w:color="CCCCCC" w:sz="4"/>
              <w:left w:val="none" w:color="FFFFFF" w:sz="0"/>
              <w:bottom w:val="single" w:color="CCCCCC" w:sz="4"/>
              <w:right w:val="single" w:color="CCCCCC" w:sz="4"/>
            </w:tcBorders>
            <w:shd w:fill="EFEFEF" w:val="clear"/>
            <w:tcMar>
              <w:top w:type="dxa" w:w="100"/>
              <w:left w:type="dxa" w:w="80"/>
              <w:bottom w:type="dxa" w:w="100"/>
              <w:right w:type="dxa" w:w="120"/>
            </w:tcMar>
            <w:vAlign w:val="center"/>
          </w:tcPr>
          <w:p>
            <w:pPr>
              <w:spacing w:after="0" w:before="0"/>
              <w:jc w:val="right"/>
            </w:pPr>
            <w:r>
              <w:rPr>
                <w:rFonts w:ascii="Times New Roman" w:cs="Times New Roman" w:eastAsia="Times New Roman" w:hAnsi="Times New Roman"/>
                <w:b w:val="false"/>
                <w:bCs w:val="false"/>
                <w:i/>
                <w:iCs/>
                <w:smallCaps w:val="false"/>
                <w:color w:val="666666"/>
                <w:sz w:val="19"/>
                <w:szCs w:val="19"/>
              </w:rPr>
              <w:t xml:space="preserve">(11)</w:t>
            </w:r>
          </w:p>
        </w:tc>
      </w:tr>
    </w:tbl>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The buy cost integral (equation 3) is derived as follows. Let f(x) = P₀ × 5^(x/M). Then: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8460"/>
        <w:gridCol w:w="900"/>
      </w:tblGrid>
      <w:tr>
        <w:tc>
          <w:tcPr>
            <w:tcW w:type="dxa" w:w="8460"/>
            <w:tcBorders>
              <w:top w:val="single" w:color="CCCCCC" w:sz="4"/>
              <w:left w:val="single" w:color="CCCCCC" w:sz="4"/>
              <w:bottom w:val="single" w:color="CCCCCC" w:sz="4"/>
              <w:right w:val="none" w:color="FFFFFF" w:sz="0"/>
            </w:tcBorders>
            <w:shd w:fill="EFEFEF" w:val="clear"/>
            <w:tcMar>
              <w:top w:type="dxa" w:w="100"/>
              <w:left w:type="dxa" w:w="240"/>
              <w:bottom w:type="dxa" w:w="100"/>
              <w:right w:type="dxa" w:w="120"/>
            </w:tcMar>
          </w:tcPr>
          <w:p>
            <w:pPr>
              <w:spacing w:after="40" w:before="0"/>
            </w:pPr>
            <w:r>
              <w:rPr>
                <w:rFonts w:ascii="Courier New" w:cs="Courier New" w:eastAsia="Courier New" w:hAnsi="Courier New"/>
                <w:b/>
                <w:bCs/>
                <w:color w:val="1A1A1A"/>
                <w:sz w:val="22"/>
                <w:szCs w:val="22"/>
              </w:rPr>
              <w:t xml:space="preserve">∫ P₀ × 5^(x/M) dx = P₀ × M / ln(5) × 5^(x/M) + C</w:t>
            </w:r>
          </w:p>
          <w:p>
            <w:pPr>
              <w:spacing w:after="0" w:before="0"/>
            </w:pPr>
            <w:r>
              <w:rPr>
                <w:rFonts w:ascii="Times New Roman" w:cs="Times New Roman" w:eastAsia="Times New Roman" w:hAnsi="Times New Roman"/>
                <w:b w:val="false"/>
                <w:bCs w:val="false"/>
                <w:i/>
                <w:iCs/>
                <w:smallCaps w:val="false"/>
                <w:color w:val="666666"/>
                <w:sz w:val="17"/>
                <w:szCs w:val="17"/>
              </w:rPr>
              <w:t xml:space="preserve">Antiderivative derivation using the standard result ∫ a^(bx) dx = a^(bx) / (b × ln a).</w:t>
            </w:r>
          </w:p>
        </w:tc>
        <w:tc>
          <w:tcPr>
            <w:tcW w:type="dxa" w:w="900"/>
            <w:tcBorders>
              <w:top w:val="single" w:color="CCCCCC" w:sz="4"/>
              <w:left w:val="none" w:color="FFFFFF" w:sz="0"/>
              <w:bottom w:val="single" w:color="CCCCCC" w:sz="4"/>
              <w:right w:val="single" w:color="CCCCCC" w:sz="4"/>
            </w:tcBorders>
            <w:shd w:fill="EFEFEF" w:val="clear"/>
            <w:tcMar>
              <w:top w:type="dxa" w:w="100"/>
              <w:left w:type="dxa" w:w="80"/>
              <w:bottom w:type="dxa" w:w="100"/>
              <w:right w:type="dxa" w:w="120"/>
            </w:tcMar>
            <w:vAlign w:val="center"/>
          </w:tcPr>
          <w:p>
            <w:pPr>
              <w:spacing w:after="0" w:before="0"/>
              <w:jc w:val="right"/>
            </w:pPr>
            <w:r>
              <w:rPr>
                <w:rFonts w:ascii="Times New Roman" w:cs="Times New Roman" w:eastAsia="Times New Roman" w:hAnsi="Times New Roman"/>
                <w:b w:val="false"/>
                <w:bCs w:val="false"/>
                <w:i/>
                <w:iCs/>
                <w:smallCaps w:val="false"/>
                <w:color w:val="666666"/>
                <w:sz w:val="19"/>
                <w:szCs w:val="19"/>
              </w:rPr>
              <w:t xml:space="preserve">(12)</w:t>
            </w:r>
          </w:p>
        </w:tc>
      </w:tr>
    </w:tbl>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Evaluating from S to S+Δ yields equation (3). The sell refund (equation 4) follows by symmetry. The total graduation raise (equation 5) evaluates the integral from 0 to 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8460"/>
        <w:gridCol w:w="900"/>
      </w:tblGrid>
      <w:tr>
        <w:tc>
          <w:tcPr>
            <w:tcW w:type="dxa" w:w="8460"/>
            <w:tcBorders>
              <w:top w:val="single" w:color="CCCCCC" w:sz="4"/>
              <w:left w:val="single" w:color="CCCCCC" w:sz="4"/>
              <w:bottom w:val="single" w:color="CCCCCC" w:sz="4"/>
              <w:right w:val="none" w:color="FFFFFF" w:sz="0"/>
            </w:tcBorders>
            <w:shd w:fill="EFEFEF" w:val="clear"/>
            <w:tcMar>
              <w:top w:type="dxa" w:w="100"/>
              <w:left w:type="dxa" w:w="240"/>
              <w:bottom w:type="dxa" w:w="100"/>
              <w:right w:type="dxa" w:w="120"/>
            </w:tcMar>
          </w:tcPr>
          <w:p>
            <w:pPr>
              <w:spacing w:after="0" w:before="0"/>
            </w:pPr>
            <w:r>
              <w:rPr>
                <w:rFonts w:ascii="Courier New" w:cs="Courier New" w:eastAsia="Courier New" w:hAnsi="Courier New"/>
                <w:b/>
                <w:bCs/>
                <w:color w:val="1A1A1A"/>
                <w:sz w:val="22"/>
                <w:szCs w:val="22"/>
              </w:rPr>
              <w:t xml:space="preserve">∫[0 to M] P₀ × 5^(x/M) dx = (P₀ × M / ln 5) × (5^1 - 5^0) = (P₀ × M / 1.6094) × 4</w:t>
            </w:r>
          </w:p>
        </w:tc>
        <w:tc>
          <w:tcPr>
            <w:tcW w:type="dxa" w:w="900"/>
            <w:tcBorders>
              <w:top w:val="single" w:color="CCCCCC" w:sz="4"/>
              <w:left w:val="none" w:color="FFFFFF" w:sz="0"/>
              <w:bottom w:val="single" w:color="CCCCCC" w:sz="4"/>
              <w:right w:val="single" w:color="CCCCCC" w:sz="4"/>
            </w:tcBorders>
            <w:shd w:fill="EFEFEF" w:val="clear"/>
            <w:tcMar>
              <w:top w:type="dxa" w:w="100"/>
              <w:left w:type="dxa" w:w="80"/>
              <w:bottom w:type="dxa" w:w="100"/>
              <w:right w:type="dxa" w:w="120"/>
            </w:tcMar>
            <w:vAlign w:val="center"/>
          </w:tcPr>
          <w:p>
            <w:pPr>
              <w:spacing w:after="0" w:before="0"/>
              <w:jc w:val="right"/>
            </w:pPr>
            <w:r>
              <w:rPr>
                <w:rFonts w:ascii="Times New Roman" w:cs="Times New Roman" w:eastAsia="Times New Roman" w:hAnsi="Times New Roman"/>
                <w:b w:val="false"/>
                <w:bCs w:val="false"/>
                <w:i/>
                <w:iCs/>
                <w:smallCaps w:val="false"/>
                <w:color w:val="666666"/>
                <w:sz w:val="19"/>
                <w:szCs w:val="19"/>
              </w:rPr>
              <w:t xml:space="preserve">(13)</w:t>
            </w:r>
          </w:p>
        </w:tc>
      </w:tr>
    </w:tbl>
    <w:p>
      <w:pPr>
        <w:pStyle w:val="Heading2"/>
        <w:spacing w:after="100" w:before="320"/>
      </w:pPr>
      <w:r>
        <w:rPr>
          <w:rFonts w:ascii="Times New Roman" w:cs="Times New Roman" w:eastAsia="Times New Roman" w:hAnsi="Times New Roman"/>
          <w:b/>
          <w:bCs/>
          <w:i w:val="false"/>
          <w:iCs w:val="false"/>
          <w:smallCaps w:val="false"/>
          <w:color w:val="111111"/>
          <w:sz w:val="24"/>
          <w:szCs w:val="24"/>
        </w:rPr>
        <w:t xml:space="preserve">20.4  LP Pool Price Continuity Proof</w:t>
      </w:r>
    </w:p>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The migration is designed to ensure zero price discontinuity between the bonding curve graduation price and the initial DEX pool price. Formally, let P_grad = $0.015 and let SOL_LP = 0.87 × Total. We require: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8460"/>
        <w:gridCol w:w="900"/>
      </w:tblGrid>
      <w:tr>
        <w:tc>
          <w:tcPr>
            <w:tcW w:type="dxa" w:w="8460"/>
            <w:tcBorders>
              <w:top w:val="single" w:color="CCCCCC" w:sz="4"/>
              <w:left w:val="single" w:color="CCCCCC" w:sz="4"/>
              <w:bottom w:val="single" w:color="CCCCCC" w:sz="4"/>
              <w:right w:val="none" w:color="FFFFFF" w:sz="0"/>
            </w:tcBorders>
            <w:shd w:fill="EFEFEF" w:val="clear"/>
            <w:tcMar>
              <w:top w:type="dxa" w:w="100"/>
              <w:left w:type="dxa" w:w="240"/>
              <w:bottom w:type="dxa" w:w="100"/>
              <w:right w:type="dxa" w:w="120"/>
            </w:tcMar>
          </w:tcPr>
          <w:p>
            <w:pPr>
              <w:spacing w:after="0" w:before="0"/>
            </w:pPr>
            <w:r>
              <w:rPr>
                <w:rFonts w:ascii="Courier New" w:cs="Courier New" w:eastAsia="Courier New" w:hAnsi="Courier New"/>
                <w:b/>
                <w:bCs/>
                <w:color w:val="1A1A1A"/>
                <w:sz w:val="22"/>
                <w:szCs w:val="22"/>
              </w:rPr>
              <w:t xml:space="preserve">SOL_LP / Tokens_LP = P_grad ⇒ Tokens_LP = SOL_LP / P_grad</w:t>
            </w:r>
          </w:p>
        </w:tc>
        <w:tc>
          <w:tcPr>
            <w:tcW w:type="dxa" w:w="900"/>
            <w:tcBorders>
              <w:top w:val="single" w:color="CCCCCC" w:sz="4"/>
              <w:left w:val="none" w:color="FFFFFF" w:sz="0"/>
              <w:bottom w:val="single" w:color="CCCCCC" w:sz="4"/>
              <w:right w:val="single" w:color="CCCCCC" w:sz="4"/>
            </w:tcBorders>
            <w:shd w:fill="EFEFEF" w:val="clear"/>
            <w:tcMar>
              <w:top w:type="dxa" w:w="100"/>
              <w:left w:type="dxa" w:w="80"/>
              <w:bottom w:type="dxa" w:w="100"/>
              <w:right w:type="dxa" w:w="120"/>
            </w:tcMar>
            <w:vAlign w:val="center"/>
          </w:tcPr>
          <w:p>
            <w:pPr>
              <w:spacing w:after="0" w:before="0"/>
              <w:jc w:val="right"/>
            </w:pPr>
            <w:r>
              <w:rPr>
                <w:rFonts w:ascii="Times New Roman" w:cs="Times New Roman" w:eastAsia="Times New Roman" w:hAnsi="Times New Roman"/>
                <w:b w:val="false"/>
                <w:bCs w:val="false"/>
                <w:i/>
                <w:iCs/>
                <w:smallCaps w:val="false"/>
                <w:color w:val="666666"/>
                <w:sz w:val="19"/>
                <w:szCs w:val="19"/>
              </w:rPr>
              <w:t xml:space="preserve">(14)</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8460"/>
        <w:gridCol w:w="900"/>
      </w:tblGrid>
      <w:tr>
        <w:tc>
          <w:tcPr>
            <w:tcW w:type="dxa" w:w="8460"/>
            <w:tcBorders>
              <w:top w:val="single" w:color="CCCCCC" w:sz="4"/>
              <w:left w:val="single" w:color="CCCCCC" w:sz="4"/>
              <w:bottom w:val="single" w:color="CCCCCC" w:sz="4"/>
              <w:right w:val="none" w:color="FFFFFF" w:sz="0"/>
            </w:tcBorders>
            <w:shd w:fill="EFEFEF" w:val="clear"/>
            <w:tcMar>
              <w:top w:type="dxa" w:w="100"/>
              <w:left w:type="dxa" w:w="240"/>
              <w:bottom w:type="dxa" w:w="100"/>
              <w:right w:type="dxa" w:w="120"/>
            </w:tcMar>
          </w:tcPr>
          <w:p>
            <w:pPr>
              <w:spacing w:after="40" w:before="0"/>
            </w:pPr>
            <w:r>
              <w:rPr>
                <w:rFonts w:ascii="Courier New" w:cs="Courier New" w:eastAsia="Courier New" w:hAnsi="Courier New"/>
                <w:b/>
                <w:bCs/>
                <w:color w:val="1A1A1A"/>
                <w:sz w:val="22"/>
                <w:szCs w:val="22"/>
              </w:rPr>
              <w:t xml:space="preserve">Tokens_LP = $160,950 / $0.015 = 10,730,000 tokens ✓</w:t>
            </w:r>
          </w:p>
          <w:p>
            <w:pPr>
              <w:spacing w:after="0" w:before="0"/>
            </w:pPr>
            <w:r>
              <w:rPr>
                <w:rFonts w:ascii="Times New Roman" w:cs="Times New Roman" w:eastAsia="Times New Roman" w:hAnsi="Times New Roman"/>
                <w:b w:val="false"/>
                <w:bCs w:val="false"/>
                <w:i/>
                <w:iCs/>
                <w:smallCaps w:val="false"/>
                <w:color w:val="666666"/>
                <w:sz w:val="17"/>
                <w:szCs w:val="17"/>
              </w:rPr>
              <w:t xml:space="preserve">Verification: $160,950 / 10,730,000 = $0.015000. Zero arbitrage at migration.</w:t>
            </w:r>
          </w:p>
        </w:tc>
        <w:tc>
          <w:tcPr>
            <w:tcW w:type="dxa" w:w="900"/>
            <w:tcBorders>
              <w:top w:val="single" w:color="CCCCCC" w:sz="4"/>
              <w:left w:val="none" w:color="FFFFFF" w:sz="0"/>
              <w:bottom w:val="single" w:color="CCCCCC" w:sz="4"/>
              <w:right w:val="single" w:color="CCCCCC" w:sz="4"/>
            </w:tcBorders>
            <w:shd w:fill="EFEFEF" w:val="clear"/>
            <w:tcMar>
              <w:top w:type="dxa" w:w="100"/>
              <w:left w:type="dxa" w:w="80"/>
              <w:bottom w:type="dxa" w:w="100"/>
              <w:right w:type="dxa" w:w="120"/>
            </w:tcMar>
            <w:vAlign w:val="center"/>
          </w:tcPr>
          <w:p>
            <w:pPr>
              <w:spacing w:after="0" w:before="0"/>
              <w:jc w:val="right"/>
            </w:pPr>
            <w:r>
              <w:rPr>
                <w:rFonts w:ascii="Times New Roman" w:cs="Times New Roman" w:eastAsia="Times New Roman" w:hAnsi="Times New Roman"/>
                <w:b w:val="false"/>
                <w:bCs w:val="false"/>
                <w:i/>
                <w:iCs/>
                <w:smallCaps w:val="false"/>
                <w:color w:val="666666"/>
                <w:sz w:val="19"/>
                <w:szCs w:val="19"/>
              </w:rPr>
              <w:t xml:space="preserve">(15)</w:t>
            </w:r>
          </w:p>
        </w:tc>
      </w:tr>
    </w:tbl>
    <w:p>
      <w:pPr>
        <w:pStyle w:val="Heading2"/>
        <w:spacing w:after="100" w:before="320"/>
      </w:pPr>
      <w:r>
        <w:rPr>
          <w:rFonts w:ascii="Times New Roman" w:cs="Times New Roman" w:eastAsia="Times New Roman" w:hAnsi="Times New Roman"/>
          <w:b/>
          <w:bCs/>
          <w:i w:val="false"/>
          <w:iCs w:val="false"/>
          <w:smallCaps w:val="false"/>
          <w:color w:val="111111"/>
          <w:sz w:val="24"/>
          <w:szCs w:val="24"/>
        </w:rPr>
        <w:t xml:space="preserve">20.5  Associated Token Account Architecture</w:t>
      </w:r>
    </w:p>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Solana SPL tokens require an Associated Token Account (ATA) — a standardised account derivation of the form (wallet_pubkey, token_mint) — before any tokens can be received. ATA creation requires a one-time rent deposit of approximately 0.002039 SOL (current Solana network rate, subject to change), which is refunded on account closure.</w:t>
      </w:r>
    </w:p>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People.market manages ATA creation as follows: buy transactions bundle ATA creation for the buyer if no ATA exists; task claim transactions bundle ATA creation for the claimer if no ATA exists; the platform pays gas for escrow locking (user not present), but the user pays for claim transactions as they are receiving value. The 0.002 SOL rent is borne by whoever initiates the ATA creation.</w:t>
      </w:r>
    </w:p>
    <w:p>
      <w:pPr>
        <w:pStyle w:val="Heading2"/>
        <w:spacing w:after="100" w:before="320"/>
      </w:pPr>
      <w:r>
        <w:rPr>
          <w:rFonts w:ascii="Times New Roman" w:cs="Times New Roman" w:eastAsia="Times New Roman" w:hAnsi="Times New Roman"/>
          <w:b/>
          <w:bCs/>
          <w:i w:val="false"/>
          <w:iCs w:val="false"/>
          <w:smallCaps w:val="false"/>
          <w:color w:val="111111"/>
          <w:sz w:val="24"/>
          <w:szCs w:val="24"/>
        </w:rPr>
        <w:t xml:space="preserve">20.6  Raydium CPMM Integration</w:t>
      </w:r>
    </w:p>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People.market uses Raydium's Constant Product Market Maker (CPMM) pool type for all graduated creator tokens. CPMM implements the invariant x × y = k where x is the SOL quantity and y is the creator token quantity. The DEX Migration program calls Raydium's create_pool instruction with: Token A = WSOL (wrapped SOL), Token B = creator SPL token mint, initial liquidity = $160,950 WSOL + 10,730,000 creator tokens, fee tier = 0.25%.</w:t>
      </w:r>
    </w:p>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LP tokens returned by Raydium are immediately transferred to the burn address in the same atomic transaction, preventing any party from ever withdrawing the pool liquidity. The Raydium pool functions normally thereafter — all trades and price discovery operate via the standard AMM mechanism.</w:t>
      </w:r>
    </w:p>
    <w:p>
      <w:pPr>
        <w:pStyle w:val="Heading2"/>
        <w:spacing w:after="100" w:before="320"/>
      </w:pPr>
      <w:r>
        <w:rPr>
          <w:rFonts w:ascii="Times New Roman" w:cs="Times New Roman" w:eastAsia="Times New Roman" w:hAnsi="Times New Roman"/>
          <w:b/>
          <w:bCs/>
          <w:i w:val="false"/>
          <w:iCs w:val="false"/>
          <w:smallCaps w:val="false"/>
          <w:color w:val="111111"/>
          <w:sz w:val="24"/>
          <w:szCs w:val="24"/>
        </w:rPr>
        <w:t xml:space="preserve">20.7  Pyth Network Oracle Integration</w:t>
      </w:r>
    </w:p>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At token creation, the Bonding Curve program reads the Pyth SOL/USD price aggregator account on Solana. The program validates that the price confidence interval is within an acceptable bound (confidence/price &lt; 0.01, i.e., within 1%) before accepting the price. The SOL equivalent of $0.003 is computed as P₀_SOL = 0.003 / SOL_price and stored permanently in the bonding curve state account. Subsequent price calculations use this P₀_SOL directly without further oracle reads.</w:t>
      </w:r>
    </w:p>
    <w:p>
      <w:pPr>
        <w:pStyle w:val="Heading2"/>
        <w:spacing w:after="100" w:before="320"/>
      </w:pPr>
      <w:r>
        <w:rPr>
          <w:rFonts w:ascii="Times New Roman" w:cs="Times New Roman" w:eastAsia="Times New Roman" w:hAnsi="Times New Roman"/>
          <w:b/>
          <w:bCs/>
          <w:i w:val="false"/>
          <w:iCs w:val="false"/>
          <w:smallCaps w:val="false"/>
          <w:color w:val="111111"/>
          <w:sz w:val="24"/>
          <w:szCs w:val="24"/>
        </w:rPr>
        <w:t xml:space="preserve">20.8  Security Considerations</w:t>
      </w:r>
    </w:p>
    <w:p>
      <w:pPr>
        <w:pStyle w:val="ListParagraph"/>
        <w:numPr>
          <w:ilvl w:val="0"/>
          <w:numId w:val="2"/>
        </w:numPr>
        <w:spacing w:after="80" w:before="40"/>
      </w:pPr>
      <w:r>
        <w:rPr>
          <w:rFonts w:ascii="Times New Roman" w:cs="Times New Roman" w:eastAsia="Times New Roman" w:hAnsi="Times New Roman"/>
          <w:b w:val="false"/>
          <w:bCs w:val="false"/>
          <w:i w:val="false"/>
          <w:iCs w:val="false"/>
          <w:smallCaps w:val="false"/>
          <w:color w:val="111111"/>
          <w:sz w:val="22"/>
          <w:szCs w:val="22"/>
        </w:rPr>
        <w:t xml:space="preserve">Re-entrancy. Solana's single-threaded execution model eliminates the re-entrancy attack vector prevalent on Ethereum. The Anchor framework enforces account ownership and access control at the type level.</w:t>
      </w:r>
    </w:p>
    <w:p>
      <w:pPr>
        <w:pStyle w:val="ListParagraph"/>
        <w:numPr>
          <w:ilvl w:val="0"/>
          <w:numId w:val="2"/>
        </w:numPr>
        <w:spacing w:after="80" w:before="40"/>
      </w:pPr>
      <w:r>
        <w:rPr>
          <w:rFonts w:ascii="Times New Roman" w:cs="Times New Roman" w:eastAsia="Times New Roman" w:hAnsi="Times New Roman"/>
          <w:b w:val="false"/>
          <w:bCs w:val="false"/>
          <w:i w:val="false"/>
          <w:iCs w:val="false"/>
          <w:smallCaps w:val="false"/>
          <w:color w:val="111111"/>
          <w:sz w:val="22"/>
          <w:szCs w:val="22"/>
        </w:rPr>
        <w:t xml:space="preserve">Integer arithmetic. All arithmetic uses Rust checked operations (checked_mul, checked_add, etc.) to prevent silent overflow. Token quantities use u64 (maximum 1.84 × 10^19); SOL quantities use u64 in lamports (1 SOL = 1,000,000,000 lamports).</w:t>
      </w:r>
    </w:p>
    <w:p>
      <w:pPr>
        <w:pStyle w:val="ListParagraph"/>
        <w:numPr>
          <w:ilvl w:val="0"/>
          <w:numId w:val="2"/>
        </w:numPr>
        <w:spacing w:after="80" w:before="40"/>
      </w:pPr>
      <w:r>
        <w:rPr>
          <w:rFonts w:ascii="Times New Roman" w:cs="Times New Roman" w:eastAsia="Times New Roman" w:hAnsi="Times New Roman"/>
          <w:b w:val="false"/>
          <w:bCs w:val="false"/>
          <w:i w:val="false"/>
          <w:iCs w:val="false"/>
          <w:smallCaps w:val="false"/>
          <w:color w:val="111111"/>
          <w:sz w:val="22"/>
          <w:szCs w:val="22"/>
        </w:rPr>
        <w:t xml:space="preserve">Oracle manipulation. The Pyth confidence interval check prevents accepting manipulated SOL prices at token creation. P₀ is locked once at deployment — no oracle interaction occurs subsequently.</w:t>
      </w:r>
    </w:p>
    <w:p>
      <w:pPr>
        <w:pStyle w:val="ListParagraph"/>
        <w:numPr>
          <w:ilvl w:val="0"/>
          <w:numId w:val="2"/>
        </w:numPr>
        <w:spacing w:after="80" w:before="40"/>
      </w:pPr>
      <w:r>
        <w:rPr>
          <w:rFonts w:ascii="Times New Roman" w:cs="Times New Roman" w:eastAsia="Times New Roman" w:hAnsi="Times New Roman"/>
          <w:b w:val="false"/>
          <w:bCs w:val="false"/>
          <w:i w:val="false"/>
          <w:iCs w:val="false"/>
          <w:smallCaps w:val="false"/>
          <w:color w:val="111111"/>
          <w:sz w:val="22"/>
          <w:szCs w:val="22"/>
        </w:rPr>
        <w:t xml:space="preserve">Stability reserve gaming. Cooldown timers prevent rapid successive triggering. The annual spend cap prevents sustained drain campaigns. The hard floor ensures minimum defensive capacity is always maintained.</w:t>
      </w:r>
    </w:p>
    <w:p>
      <w:pPr>
        <w:pStyle w:val="ListParagraph"/>
        <w:numPr>
          <w:ilvl w:val="0"/>
          <w:numId w:val="2"/>
        </w:numPr>
        <w:spacing w:after="80" w:before="40"/>
      </w:pPr>
      <w:r>
        <w:rPr>
          <w:rFonts w:ascii="Times New Roman" w:cs="Times New Roman" w:eastAsia="Times New Roman" w:hAnsi="Times New Roman"/>
          <w:b w:val="false"/>
          <w:bCs w:val="false"/>
          <w:i w:val="false"/>
          <w:iCs w:val="false"/>
          <w:smallCaps w:val="false"/>
          <w:color w:val="111111"/>
          <w:sz w:val="22"/>
          <w:szCs w:val="22"/>
        </w:rPr>
        <w:t xml:space="preserve">Unauthorised vesting claims. The vesting program validates the caller's public key against the creator's registered public key stored at deployment. No other address can trigger vesting releases.</w:t>
      </w:r>
    </w:p>
    <w:p>
      <w:pPr>
        <w:pStyle w:val="ListParagraph"/>
        <w:numPr>
          <w:ilvl w:val="0"/>
          <w:numId w:val="2"/>
        </w:numPr>
        <w:spacing w:after="80" w:before="40"/>
      </w:pPr>
      <w:r>
        <w:rPr>
          <w:rFonts w:ascii="Times New Roman" w:cs="Times New Roman" w:eastAsia="Times New Roman" w:hAnsi="Times New Roman"/>
          <w:b w:val="false"/>
          <w:bCs w:val="false"/>
          <w:i w:val="false"/>
          <w:iCs w:val="false"/>
          <w:smallCaps w:val="false"/>
          <w:color w:val="111111"/>
          <w:sz w:val="22"/>
          <w:szCs w:val="22"/>
        </w:rPr>
        <w:t xml:space="preserve">Unauthorised task escrow claims. The task escrow validates the caller against the user_pubkey embedded in the PDA seed derivation. Only the registered user can initiate claims from their PDA.</w:t>
      </w:r>
    </w:p>
    <w:p>
      <w:pPr>
        <w:pStyle w:val="ListParagraph"/>
        <w:numPr>
          <w:ilvl w:val="0"/>
          <w:numId w:val="2"/>
        </w:numPr>
        <w:spacing w:after="80" w:before="40"/>
      </w:pPr>
      <w:r>
        <w:rPr>
          <w:rFonts w:ascii="Times New Roman" w:cs="Times New Roman" w:eastAsia="Times New Roman" w:hAnsi="Times New Roman"/>
          <w:b w:val="false"/>
          <w:bCs w:val="false"/>
          <w:i w:val="false"/>
          <w:iCs w:val="false"/>
          <w:smallCaps w:val="false"/>
          <w:color w:val="111111"/>
          <w:sz w:val="22"/>
          <w:szCs w:val="22"/>
        </w:rPr>
        <w:t xml:space="preserve">Sybil resistance on tasks. Social OAuth binding, account age requirements, and 48-hour re-verification reduce the attack surface. The migration lock eliminates the most economically damaging sybil attack (task farming to dump on bonding curve buyers).</w:t>
      </w:r>
    </w:p>
    <w:p>
      <w:r>
        <w:br w:type="page"/>
      </w:r>
    </w:p>
    <w:p>
      <w:pPr>
        <w:pStyle w:val="Heading1"/>
        <w:pBdr>
          <w:bottom w:val="single" w:color="1A1A1A" w:sz="6" w:space="6"/>
        </w:pBdr>
        <w:spacing w:after="160" w:before="480"/>
      </w:pPr>
      <w:r>
        <w:rPr>
          <w:rFonts w:ascii="Times New Roman" w:cs="Times New Roman" w:eastAsia="Times New Roman" w:hAnsi="Times New Roman"/>
          <w:b/>
          <w:bCs/>
          <w:i w:val="false"/>
          <w:iCs w:val="false"/>
          <w:smallCaps w:val="false"/>
          <w:color w:val="111111"/>
          <w:sz w:val="28"/>
          <w:szCs w:val="28"/>
        </w:rPr>
        <w:t xml:space="preserve">21.   </w:t>
      </w:r>
      <w:r>
        <w:rPr>
          <w:rFonts w:ascii="Times New Roman" w:cs="Times New Roman" w:eastAsia="Times New Roman" w:hAnsi="Times New Roman"/>
          <w:b/>
          <w:bCs/>
          <w:i w:val="false"/>
          <w:iCs w:val="false"/>
          <w:smallCaps/>
          <w:color w:val="111111"/>
          <w:sz w:val="28"/>
          <w:szCs w:val="28"/>
        </w:rPr>
        <w:t xml:space="preserve">DISCLAIMER</w:t>
      </w:r>
    </w:p>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This whitepaper is published for informational purposes only. It does not constitute, and should not be construed as, an offer or solicitation to buy, sell, or subscribe to any financial instrument, security, investment product, or token in any jurisdiction.</w:t>
      </w:r>
    </w:p>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Creator tokens issued through the People.market platform are utility tokens. They are not intended to constitute securities, investment contracts, or other regulated financial instruments. However, the regulatory status of utility tokens is uncertain and varies across jurisdictions. The platform makes no representation regarding the legal status of creator tokens in any jurisdiction. Prospective participants should seek qualified independent legal, financial, and tax advice before interacting with the platform.</w:t>
      </w:r>
    </w:p>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Participation in bonding curve purchases, DEX trading, or the task economy involves significant financial risk, including the risk of total loss. Token prices are highly volatile. Past performance of any comparable platform or token does not predict future results. The projections and estimates contained in this whitepaper are based on assumptions that may not materialise.</w:t>
      </w:r>
    </w:p>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Smart contracts carry inherent technical risks including bugs, vulnerabilities, and unforeseen interactions with third-party protocols. A Tier-1 security audit will be completed before mainnet deployment, but no audit provides a guarantee of security. Participants interact with smart contracts at their own risk.</w:t>
      </w:r>
    </w:p>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The information in this whitepaper reflects the team's current understanding and intentions. All technical specifications, tokenomics parameters, fees, and platform features are subject to change based on development progress, security findings, regulatory requirements, or market conditions. The platform reserves the right to modify any aspect of the protocol, including fee structures and smart contract parameters, in accordance with the governance mechanisms described herein.</w:t>
      </w:r>
    </w:p>
    <w:p>
      <w:pPr>
        <w:spacing w:after="160" w:before="80" w:line="276"/>
        <w:jc w:val="both"/>
      </w:pPr>
      <w:r>
        <w:rPr>
          <w:rFonts w:ascii="Times New Roman" w:cs="Times New Roman" w:eastAsia="Times New Roman" w:hAnsi="Times New Roman"/>
          <w:b w:val="false"/>
          <w:bCs w:val="false"/>
          <w:i w:val="false"/>
          <w:iCs w:val="false"/>
          <w:smallCaps w:val="false"/>
          <w:color w:val="111111"/>
          <w:sz w:val="22"/>
          <w:szCs w:val="22"/>
        </w:rPr>
        <w:t xml:space="preserve">By interacting with People.market or any creator token launched on the platform, participants acknowledge that they have read this disclaimer, understand the risks involved, and accept full responsibility for their participation.</w:t>
      </w:r>
    </w:p>
    <w:p>
      <w:pPr>
        <w:spacing w:after="300" w:before="0"/>
      </w:pPr>
    </w:p>
    <w:p>
      <w:pPr>
        <w:pBdr>
          <w:top w:val="single" w:color="CCCCCC" w:sz="4" w:space="1"/>
        </w:pBdr>
        <w:spacing w:after="40" w:before="0"/>
        <w:jc w:val="center"/>
      </w:pPr>
    </w:p>
    <w:p>
      <w:pPr>
        <w:spacing w:after="40" w:before="0"/>
      </w:pPr>
    </w:p>
    <w:p>
      <w:pPr>
        <w:spacing w:after="0" w:before="0" w:line="276"/>
        <w:jc w:val="center"/>
      </w:pPr>
      <w:r>
        <w:rPr>
          <w:rFonts w:ascii="Times New Roman" w:cs="Times New Roman" w:eastAsia="Times New Roman" w:hAnsi="Times New Roman"/>
          <w:b w:val="false"/>
          <w:bCs w:val="false"/>
          <w:i/>
          <w:iCs/>
          <w:smallCaps w:val="false"/>
          <w:color w:val="666666"/>
          <w:sz w:val="18"/>
          <w:szCs w:val="18"/>
        </w:rPr>
        <w:t xml:space="preserve">People.market  ·  people.market  ·  Version 1.0  ·  April 2026</w:t>
      </w:r>
    </w:p>
    <w:sectPr>
      <w:headerReference w:type="default" r:id="rId7"/>
      <w:footerReference w:type="default" r:id="rId8"/>
      <w:pgSz w:w="12240" w:h="15840" w:orient="portrait"/>
      <w:pgMar w:top="10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space="4"/>
      </w:pBdr>
      <w:tabs>
        <w:tab w:val="right" w:pos="9360"/>
      </w:tabs>
      <w:spacing w:after="0" w:before="80"/>
    </w:pPr>
    <w:r>
      <w:rPr>
        <w:rFonts w:ascii="Times New Roman" w:cs="Times New Roman" w:eastAsia="Times New Roman" w:hAnsi="Times New Roman"/>
        <w:b w:val="false"/>
        <w:bCs w:val="false"/>
        <w:i w:val="false"/>
        <w:iCs w:val="false"/>
        <w:smallCaps w:val="false"/>
        <w:color w:val="666666"/>
        <w:sz w:val="17"/>
        <w:szCs w:val="17"/>
      </w:rPr>
      <w:t xml:space="preserve">April 2026</w:t>
    </w:r>
    <w:r>
      <w:rPr>
        <w:rFonts w:ascii="Times New Roman" w:cs="Times New Roman" w:eastAsia="Times New Roman" w:hAnsi="Times New Roman"/>
        <w:b w:val="false"/>
        <w:bCs w:val="false"/>
        <w:i w:val="false"/>
        <w:iCs w:val="false"/>
        <w:smallCaps w:val="false"/>
        <w:color w:val="111111"/>
        <w:sz w:val="17"/>
        <w:szCs w:val="17"/>
      </w:rPr>
      <w:t xml:space="preserve">	</w:t>
    </w:r>
    <w:r>
      <w:rPr>
        <w:rFonts w:ascii="Times New Roman" w:cs="Times New Roman" w:eastAsia="Times New Roman" w:hAnsi="Times New Roman"/>
        <w:b w:val="false"/>
        <w:bCs w:val="false"/>
        <w:i w:val="false"/>
        <w:iCs w:val="false"/>
        <w:smallCaps w:val="false"/>
        <w:color w:val="666666"/>
        <w:sz w:val="17"/>
        <w:szCs w:val="17"/>
      </w:rPr>
      <w:t xml:space="preserve">Page </w:t>
    </w:r>
    <w:fldSimple w:instr="PAG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CCCCC" w:sz="4" w:space="4"/>
      </w:pBdr>
      <w:tabs>
        <w:tab w:val="right" w:pos="9360"/>
      </w:tabs>
      <w:spacing w:after="80" w:before="0"/>
    </w:pPr>
    <w:r>
      <w:rPr>
        <w:rFonts w:ascii="Times New Roman" w:cs="Times New Roman" w:eastAsia="Times New Roman" w:hAnsi="Times New Roman"/>
        <w:b w:val="false"/>
        <w:bCs w:val="false"/>
        <w:i/>
        <w:iCs/>
        <w:smallCaps w:val="false"/>
        <w:color w:val="111111"/>
        <w:sz w:val="18"/>
        <w:szCs w:val="18"/>
      </w:rPr>
      <w:t xml:space="preserve">People.market</w:t>
    </w:r>
    <w:r>
      <w:rPr>
        <w:rFonts w:ascii="Times New Roman" w:cs="Times New Roman" w:eastAsia="Times New Roman" w:hAnsi="Times New Roman"/>
        <w:b w:val="false"/>
        <w:bCs w:val="false"/>
        <w:i w:val="false"/>
        <w:iCs w:val="false"/>
        <w:smallCaps w:val="false"/>
        <w:color w:val="111111"/>
        <w:sz w:val="18"/>
        <w:szCs w:val="18"/>
      </w:rPr>
      <w:t xml:space="preserve">	</w:t>
    </w:r>
    <w:r>
      <w:rPr>
        <w:rFonts w:ascii="Times New Roman" w:cs="Times New Roman" w:eastAsia="Times New Roman" w:hAnsi="Times New Roman"/>
        <w:b w:val="false"/>
        <w:bCs w:val="false"/>
        <w:i w:val="false"/>
        <w:iCs w:val="false"/>
        <w:smallCaps w:val="false"/>
        <w:color w:val="666666"/>
        <w:sz w:val="18"/>
        <w:szCs w:val="18"/>
      </w:rPr>
      <w:t xml:space="preserve">Creator Token Whitepaper — Version 1.0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spacing w:after="60" w:before="40"/>
        <w:ind w:left="720" w:hanging="360"/>
      </w:pPr>
    </w:lvl>
    <w:lvl w:ilvl="1" w15:tentative="1">
      <w:start w:val="1"/>
      <w:numFmt w:val="bullet"/>
      <w:lvlText w:val="◦"/>
      <w:lvlJc w:val="left"/>
      <w:pPr>
        <w:spacing w:after="40" w:before="20"/>
        <w:ind w:left="1080" w:hanging="360"/>
      </w:pPr>
    </w:lvl>
  </w:abstractNum>
  <w:abstractNum w:abstractNumId="3" w15:restartNumberingAfterBreak="0">
    <w:multiLevelType w:val="hybridMultilevel"/>
    <w:lvl w:ilvl="0" w15:tentative="1">
      <w:start w:val="1"/>
      <w:numFmt w:val="decimal"/>
      <w:lvlText w:val="%1."/>
      <w:lvlJc w:val="left"/>
      <w:pPr>
        <w:spacing w:after="60" w:before="40"/>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color w:val="111111"/>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480"/>
      <w:outlineLvl w:val="0"/>
    </w:pPr>
    <w:rPr>
      <w:rFonts w:ascii="Times New Roman" w:cs="Times New Roman" w:eastAsia="Times New Roman" w:hAnsi="Times New Roman"/>
      <w:b/>
      <w:bCs/>
      <w:color w:val="111111"/>
      <w:sz w:val="28"/>
      <w:szCs w:val="28"/>
    </w:rPr>
  </w:style>
  <w:style w:type="paragraph" w:styleId="Heading2">
    <w:name w:val="Heading 2"/>
    <w:basedOn w:val="Normal"/>
    <w:next w:val="Normal"/>
    <w:qFormat/>
    <w:pPr>
      <w:spacing w:after="100" w:before="320"/>
      <w:outlineLvl w:val="1"/>
    </w:pPr>
    <w:rPr>
      <w:rFonts w:ascii="Times New Roman" w:cs="Times New Roman" w:eastAsia="Times New Roman" w:hAnsi="Times New Roman"/>
      <w:b/>
      <w:bCs/>
      <w:color w:val="111111"/>
      <w:sz w:val="24"/>
      <w:szCs w:val="24"/>
    </w:rPr>
  </w:style>
  <w:style w:type="paragraph" w:styleId="Heading3">
    <w:name w:val="Heading 3"/>
    <w:basedOn w:val="Normal"/>
    <w:next w:val="Normal"/>
    <w:qFormat/>
    <w:pPr>
      <w:spacing w:after="80" w:before="220"/>
      <w:outlineLvl w:val="2"/>
    </w:pPr>
    <w:rPr>
      <w:rFonts w:ascii="Times New Roman" w:cs="Times New Roman" w:eastAsia="Times New Roman" w:hAnsi="Times New Roman"/>
      <w:b/>
      <w:bCs/>
      <w:color w:val="111111"/>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2026-04-07T14:11:19.174Z</dcterms:created>
  <dcterms:modified xsi:type="dcterms:W3CDTF">2026-04-07T14:11:19.174Z</dcterms:modified>
</cp:coreProperties>
</file>

<file path=docProps/custom.xml><?xml version="1.0" encoding="utf-8"?>
<Properties xmlns="http://schemas.openxmlformats.org/officeDocument/2006/custom-properties" xmlns:vt="http://schemas.openxmlformats.org/officeDocument/2006/docPropsVTypes"/>
</file>